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193F10" w:rsidRPr="00041EA0" w:rsidRDefault="00041EA0" w:rsidP="00041EA0">
      <w:pPr>
        <w:spacing w:before="240" w:after="480"/>
        <w:jc w:val="center"/>
        <w:rPr>
          <w:sz w:val="28"/>
          <w:szCs w:val="28"/>
        </w:rPr>
      </w:pPr>
      <w:r>
        <w:rPr>
          <w:noProof/>
        </w:rPr>
        <w:drawing>
          <wp:inline distT="0" distB="0" distL="0" distR="0">
            <wp:extent cx="1714500" cy="1123950"/>
            <wp:effectExtent l="0" t="0" r="0" b="0"/>
            <wp:docPr id="1" name="Picture 1" descr="depcolo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epcolor"/>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714500" cy="1123950"/>
                    </a:xfrm>
                    <a:prstGeom prst="rect">
                      <a:avLst/>
                    </a:prstGeom>
                    <a:noFill/>
                    <a:ln>
                      <a:noFill/>
                    </a:ln>
                  </pic:spPr>
                </pic:pic>
              </a:graphicData>
            </a:graphic>
          </wp:inline>
        </w:drawing>
      </w:r>
    </w:p>
    <w:p w:rsidR="00193F10" w:rsidRPr="00041EA0" w:rsidRDefault="00193F10" w:rsidP="00194AA6">
      <w:pPr>
        <w:pStyle w:val="Heading3"/>
        <w:rPr>
          <w:b/>
          <w:szCs w:val="28"/>
        </w:rPr>
      </w:pPr>
      <w:r w:rsidRPr="00041EA0">
        <w:rPr>
          <w:b/>
          <w:szCs w:val="28"/>
        </w:rPr>
        <w:t>TECHNICAL EVALUATION</w:t>
      </w:r>
    </w:p>
    <w:p w:rsidR="00193F10" w:rsidRPr="00041EA0" w:rsidRDefault="00193F10" w:rsidP="00194AA6">
      <w:pPr>
        <w:jc w:val="center"/>
        <w:rPr>
          <w:b/>
          <w:sz w:val="28"/>
          <w:szCs w:val="28"/>
        </w:rPr>
      </w:pPr>
      <w:r w:rsidRPr="00041EA0">
        <w:rPr>
          <w:b/>
          <w:sz w:val="28"/>
          <w:szCs w:val="28"/>
        </w:rPr>
        <w:t>&amp;</w:t>
      </w:r>
    </w:p>
    <w:p w:rsidR="00193F10" w:rsidRPr="00041EA0" w:rsidRDefault="00193F10" w:rsidP="00041EA0">
      <w:pPr>
        <w:spacing w:after="720"/>
        <w:jc w:val="center"/>
        <w:rPr>
          <w:b/>
          <w:sz w:val="28"/>
          <w:szCs w:val="28"/>
        </w:rPr>
      </w:pPr>
      <w:r w:rsidRPr="00041EA0">
        <w:rPr>
          <w:b/>
          <w:sz w:val="28"/>
          <w:szCs w:val="28"/>
        </w:rPr>
        <w:t>PRELIMINARY DETERMINATION</w:t>
      </w:r>
    </w:p>
    <w:p w:rsidR="00194AA6" w:rsidRPr="00194AA6" w:rsidRDefault="00194AA6" w:rsidP="00041EA0">
      <w:pPr>
        <w:pStyle w:val="Heading4"/>
        <w:spacing w:after="120"/>
        <w:rPr>
          <w:bCs/>
          <w:szCs w:val="22"/>
        </w:rPr>
      </w:pPr>
      <w:r w:rsidRPr="00194AA6">
        <w:rPr>
          <w:bCs/>
          <w:szCs w:val="22"/>
        </w:rPr>
        <w:t>APPLICANT</w:t>
      </w:r>
    </w:p>
    <w:p w:rsidR="00041EA0" w:rsidRDefault="00041EA0" w:rsidP="00194AA6">
      <w:pPr>
        <w:widowControl w:val="0"/>
        <w:jc w:val="center"/>
        <w:rPr>
          <w:sz w:val="22"/>
          <w:szCs w:val="22"/>
        </w:rPr>
      </w:pPr>
      <w:r w:rsidRPr="00041EA0">
        <w:rPr>
          <w:sz w:val="22"/>
          <w:szCs w:val="22"/>
        </w:rPr>
        <w:t>Duke Energy Florida, Inc. (DEF)</w:t>
      </w:r>
    </w:p>
    <w:p w:rsidR="00194AA6" w:rsidRPr="00041EA0" w:rsidRDefault="00041EA0" w:rsidP="00194AA6">
      <w:pPr>
        <w:widowControl w:val="0"/>
        <w:jc w:val="center"/>
        <w:rPr>
          <w:sz w:val="22"/>
          <w:szCs w:val="22"/>
        </w:rPr>
      </w:pPr>
      <w:r w:rsidRPr="00041EA0">
        <w:rPr>
          <w:bCs/>
          <w:sz w:val="22"/>
          <w:szCs w:val="22"/>
        </w:rPr>
        <w:t>299 First Avenue North, FL 903</w:t>
      </w:r>
    </w:p>
    <w:p w:rsidR="00194AA6" w:rsidRPr="00746205" w:rsidRDefault="00041EA0" w:rsidP="00041EA0">
      <w:pPr>
        <w:widowControl w:val="0"/>
        <w:spacing w:after="720"/>
        <w:jc w:val="center"/>
        <w:rPr>
          <w:sz w:val="22"/>
          <w:szCs w:val="22"/>
        </w:rPr>
      </w:pPr>
      <w:r w:rsidRPr="00041EA0">
        <w:rPr>
          <w:sz w:val="22"/>
          <w:szCs w:val="22"/>
        </w:rPr>
        <w:t>St. Petersburg</w:t>
      </w:r>
      <w:r w:rsidR="001D247F">
        <w:rPr>
          <w:sz w:val="22"/>
          <w:szCs w:val="22"/>
        </w:rPr>
        <w:t xml:space="preserve">, FL </w:t>
      </w:r>
      <w:r w:rsidRPr="00041EA0">
        <w:rPr>
          <w:sz w:val="22"/>
          <w:szCs w:val="22"/>
        </w:rPr>
        <w:t>33701-3308</w:t>
      </w:r>
    </w:p>
    <w:p w:rsidR="00041EA0" w:rsidRPr="00041EA0" w:rsidRDefault="00041EA0" w:rsidP="00041EA0">
      <w:pPr>
        <w:widowControl w:val="0"/>
        <w:spacing w:after="120"/>
        <w:jc w:val="center"/>
        <w:rPr>
          <w:b/>
          <w:sz w:val="22"/>
          <w:szCs w:val="22"/>
        </w:rPr>
      </w:pPr>
      <w:r w:rsidRPr="00041EA0">
        <w:rPr>
          <w:b/>
          <w:sz w:val="22"/>
          <w:szCs w:val="22"/>
        </w:rPr>
        <w:t>Facility</w:t>
      </w:r>
    </w:p>
    <w:p w:rsidR="00194AA6" w:rsidRDefault="001D247F" w:rsidP="00194AA6">
      <w:pPr>
        <w:widowControl w:val="0"/>
        <w:jc w:val="center"/>
        <w:rPr>
          <w:sz w:val="22"/>
          <w:szCs w:val="22"/>
        </w:rPr>
      </w:pPr>
      <w:r>
        <w:rPr>
          <w:sz w:val="22"/>
          <w:szCs w:val="22"/>
        </w:rPr>
        <w:t>University of Florida Cogeneration Plant</w:t>
      </w:r>
    </w:p>
    <w:p w:rsidR="00041EA0" w:rsidRDefault="00041EA0" w:rsidP="00194AA6">
      <w:pPr>
        <w:widowControl w:val="0"/>
        <w:jc w:val="center"/>
        <w:rPr>
          <w:sz w:val="22"/>
          <w:szCs w:val="22"/>
        </w:rPr>
      </w:pPr>
      <w:r w:rsidRPr="00041EA0">
        <w:rPr>
          <w:sz w:val="22"/>
          <w:szCs w:val="22"/>
        </w:rPr>
        <w:t>1928 Mowry Road, Building 82</w:t>
      </w:r>
    </w:p>
    <w:p w:rsidR="00041EA0" w:rsidRPr="00746205" w:rsidRDefault="00041EA0" w:rsidP="00194AA6">
      <w:pPr>
        <w:widowControl w:val="0"/>
        <w:jc w:val="center"/>
        <w:rPr>
          <w:sz w:val="22"/>
          <w:szCs w:val="22"/>
        </w:rPr>
      </w:pPr>
      <w:r>
        <w:rPr>
          <w:sz w:val="22"/>
          <w:szCs w:val="22"/>
        </w:rPr>
        <w:t>Gainesville FL 32611</w:t>
      </w:r>
    </w:p>
    <w:p w:rsidR="00194AA6" w:rsidRDefault="00194AA6" w:rsidP="00041EA0">
      <w:pPr>
        <w:widowControl w:val="0"/>
        <w:spacing w:after="720"/>
        <w:jc w:val="center"/>
        <w:rPr>
          <w:sz w:val="22"/>
          <w:szCs w:val="22"/>
        </w:rPr>
      </w:pPr>
      <w:r w:rsidRPr="00746205">
        <w:rPr>
          <w:sz w:val="22"/>
          <w:szCs w:val="22"/>
        </w:rPr>
        <w:t xml:space="preserve">Facility ID No. </w:t>
      </w:r>
      <w:r w:rsidR="004A7D29">
        <w:rPr>
          <w:sz w:val="22"/>
          <w:szCs w:val="22"/>
        </w:rPr>
        <w:t>0010001</w:t>
      </w:r>
    </w:p>
    <w:p w:rsidR="00193F10" w:rsidRDefault="00193F10" w:rsidP="00194AA6">
      <w:pPr>
        <w:pStyle w:val="Heading4"/>
        <w:spacing w:after="120"/>
        <w:rPr>
          <w:bCs/>
        </w:rPr>
      </w:pPr>
      <w:r>
        <w:rPr>
          <w:bCs/>
        </w:rPr>
        <w:t>PROJECT</w:t>
      </w:r>
    </w:p>
    <w:p w:rsidR="00193F10" w:rsidRDefault="00193F10" w:rsidP="00194AA6">
      <w:pPr>
        <w:pStyle w:val="Heading1"/>
        <w:spacing w:after="0"/>
        <w:ind w:left="0"/>
        <w:jc w:val="center"/>
        <w:rPr>
          <w:sz w:val="22"/>
        </w:rPr>
      </w:pPr>
      <w:r w:rsidRPr="00BD6226">
        <w:rPr>
          <w:sz w:val="22"/>
        </w:rPr>
        <w:t>P</w:t>
      </w:r>
      <w:r w:rsidR="00194AA6" w:rsidRPr="00BD6226">
        <w:rPr>
          <w:sz w:val="22"/>
        </w:rPr>
        <w:t>roject</w:t>
      </w:r>
      <w:r w:rsidRPr="00BD6226">
        <w:rPr>
          <w:sz w:val="22"/>
        </w:rPr>
        <w:t xml:space="preserve"> No. </w:t>
      </w:r>
      <w:r w:rsidR="00BD6226" w:rsidRPr="00BD6226">
        <w:rPr>
          <w:sz w:val="22"/>
        </w:rPr>
        <w:t>0010001-0</w:t>
      </w:r>
      <w:r w:rsidR="00041EA0">
        <w:rPr>
          <w:sz w:val="22"/>
        </w:rPr>
        <w:t>14</w:t>
      </w:r>
      <w:r w:rsidR="008603FF" w:rsidRPr="00BD6226">
        <w:rPr>
          <w:sz w:val="22"/>
        </w:rPr>
        <w:t>-AC</w:t>
      </w:r>
    </w:p>
    <w:p w:rsidR="00194AA6" w:rsidRDefault="00194AA6" w:rsidP="00194AA6">
      <w:pPr>
        <w:jc w:val="center"/>
        <w:rPr>
          <w:sz w:val="22"/>
        </w:rPr>
      </w:pPr>
      <w:r>
        <w:rPr>
          <w:sz w:val="22"/>
        </w:rPr>
        <w:t xml:space="preserve">Application for </w:t>
      </w:r>
      <w:r w:rsidR="008603FF">
        <w:rPr>
          <w:sz w:val="22"/>
        </w:rPr>
        <w:t xml:space="preserve">Minor Source </w:t>
      </w:r>
      <w:r>
        <w:rPr>
          <w:sz w:val="22"/>
        </w:rPr>
        <w:t>Air Construction Permit</w:t>
      </w:r>
    </w:p>
    <w:p w:rsidR="00193F10" w:rsidRPr="001D487F" w:rsidRDefault="00041EA0" w:rsidP="00041EA0">
      <w:pPr>
        <w:spacing w:after="720"/>
        <w:jc w:val="center"/>
        <w:rPr>
          <w:sz w:val="22"/>
        </w:rPr>
      </w:pPr>
      <w:r>
        <w:rPr>
          <w:sz w:val="22"/>
        </w:rPr>
        <w:t>Boiler Replacement Project</w:t>
      </w:r>
    </w:p>
    <w:p w:rsidR="00193F10" w:rsidRDefault="00193F10" w:rsidP="00194AA6">
      <w:pPr>
        <w:pStyle w:val="Heading4"/>
        <w:spacing w:after="120"/>
        <w:rPr>
          <w:bCs/>
        </w:rPr>
      </w:pPr>
      <w:r>
        <w:rPr>
          <w:bCs/>
        </w:rPr>
        <w:t>COUNTY</w:t>
      </w:r>
    </w:p>
    <w:p w:rsidR="00193F10" w:rsidRPr="001D487F" w:rsidRDefault="001D247F" w:rsidP="00041EA0">
      <w:pPr>
        <w:spacing w:after="720"/>
        <w:jc w:val="center"/>
        <w:rPr>
          <w:sz w:val="22"/>
        </w:rPr>
      </w:pPr>
      <w:r>
        <w:rPr>
          <w:sz w:val="22"/>
        </w:rPr>
        <w:t>Alachua County</w:t>
      </w:r>
      <w:r w:rsidR="001D487F">
        <w:rPr>
          <w:sz w:val="22"/>
        </w:rPr>
        <w:t>, Florida</w:t>
      </w:r>
    </w:p>
    <w:p w:rsidR="00041EA0" w:rsidRPr="00746205" w:rsidRDefault="00041EA0" w:rsidP="00041EA0">
      <w:pPr>
        <w:pStyle w:val="Heading8"/>
        <w:keepNext w:val="0"/>
        <w:widowControl w:val="0"/>
        <w:jc w:val="center"/>
      </w:pPr>
      <w:r w:rsidRPr="00746205">
        <w:t>PERMITTING AUTHORITY</w:t>
      </w:r>
    </w:p>
    <w:p w:rsidR="00041EA0" w:rsidRPr="00746205" w:rsidRDefault="00041EA0" w:rsidP="00041EA0">
      <w:pPr>
        <w:widowControl w:val="0"/>
        <w:jc w:val="center"/>
        <w:rPr>
          <w:sz w:val="22"/>
          <w:szCs w:val="22"/>
        </w:rPr>
      </w:pPr>
      <w:r w:rsidRPr="00746205">
        <w:rPr>
          <w:sz w:val="22"/>
          <w:szCs w:val="22"/>
        </w:rPr>
        <w:t>Florida Department of Environmental Protection</w:t>
      </w:r>
    </w:p>
    <w:p w:rsidR="00041EA0" w:rsidRPr="00746205" w:rsidRDefault="00041EA0" w:rsidP="00041EA0">
      <w:pPr>
        <w:widowControl w:val="0"/>
        <w:jc w:val="center"/>
        <w:rPr>
          <w:sz w:val="22"/>
          <w:szCs w:val="22"/>
        </w:rPr>
      </w:pPr>
      <w:r w:rsidRPr="00746205">
        <w:rPr>
          <w:sz w:val="22"/>
          <w:szCs w:val="22"/>
        </w:rPr>
        <w:t>Division of Air Resource Management</w:t>
      </w:r>
    </w:p>
    <w:p w:rsidR="00041EA0" w:rsidRDefault="00041EA0" w:rsidP="00041EA0">
      <w:pPr>
        <w:widowControl w:val="0"/>
        <w:jc w:val="center"/>
        <w:rPr>
          <w:sz w:val="22"/>
          <w:szCs w:val="22"/>
        </w:rPr>
      </w:pPr>
      <w:r>
        <w:rPr>
          <w:sz w:val="22"/>
          <w:szCs w:val="22"/>
        </w:rPr>
        <w:t>Office of Permitting and Compliance</w:t>
      </w:r>
    </w:p>
    <w:p w:rsidR="00041EA0" w:rsidRDefault="00041EA0" w:rsidP="00041EA0">
      <w:pPr>
        <w:widowControl w:val="0"/>
        <w:jc w:val="center"/>
        <w:rPr>
          <w:sz w:val="22"/>
          <w:szCs w:val="22"/>
        </w:rPr>
      </w:pPr>
      <w:r>
        <w:rPr>
          <w:sz w:val="22"/>
          <w:szCs w:val="22"/>
        </w:rPr>
        <w:t>2600 Blair Stone Road, MS#5505</w:t>
      </w:r>
    </w:p>
    <w:p w:rsidR="00041EA0" w:rsidRDefault="00041EA0" w:rsidP="00041EA0">
      <w:pPr>
        <w:widowControl w:val="0"/>
        <w:spacing w:after="720"/>
        <w:jc w:val="center"/>
        <w:rPr>
          <w:sz w:val="22"/>
          <w:szCs w:val="22"/>
        </w:rPr>
      </w:pPr>
      <w:smartTag w:uri="urn:schemas-microsoft-com:office:smarttags" w:element="place">
        <w:smartTag w:uri="urn:schemas-microsoft-com:office:smarttags" w:element="City">
          <w:r>
            <w:rPr>
              <w:sz w:val="22"/>
              <w:szCs w:val="22"/>
            </w:rPr>
            <w:t>Tallahassee</w:t>
          </w:r>
        </w:smartTag>
        <w:r>
          <w:rPr>
            <w:sz w:val="22"/>
            <w:szCs w:val="22"/>
          </w:rPr>
          <w:t xml:space="preserve">, </w:t>
        </w:r>
        <w:smartTag w:uri="urn:schemas-microsoft-com:office:smarttags" w:element="State">
          <w:r>
            <w:rPr>
              <w:sz w:val="22"/>
              <w:szCs w:val="22"/>
            </w:rPr>
            <w:t>Florida</w:t>
          </w:r>
        </w:smartTag>
        <w:r>
          <w:rPr>
            <w:sz w:val="22"/>
            <w:szCs w:val="22"/>
          </w:rPr>
          <w:t xml:space="preserve">  </w:t>
        </w:r>
        <w:smartTag w:uri="urn:schemas-microsoft-com:office:smarttags" w:element="PostalCode">
          <w:r>
            <w:rPr>
              <w:sz w:val="22"/>
              <w:szCs w:val="22"/>
            </w:rPr>
            <w:t>32399-2400</w:t>
          </w:r>
        </w:smartTag>
      </w:smartTag>
    </w:p>
    <w:p w:rsidR="00193F10" w:rsidRPr="001D487F" w:rsidRDefault="007F6778" w:rsidP="00194AA6">
      <w:pPr>
        <w:jc w:val="center"/>
        <w:rPr>
          <w:sz w:val="22"/>
        </w:rPr>
      </w:pPr>
      <w:r w:rsidRPr="007F6778">
        <w:rPr>
          <w:sz w:val="22"/>
        </w:rPr>
        <w:t>April 2</w:t>
      </w:r>
      <w:r w:rsidR="000C2D88">
        <w:rPr>
          <w:sz w:val="22"/>
        </w:rPr>
        <w:t>2</w:t>
      </w:r>
      <w:r w:rsidR="002C34C6" w:rsidRPr="007F6778">
        <w:rPr>
          <w:sz w:val="22"/>
        </w:rPr>
        <w:t>, 201</w:t>
      </w:r>
      <w:r w:rsidR="00041EA0" w:rsidRPr="007F6778">
        <w:rPr>
          <w:sz w:val="22"/>
        </w:rPr>
        <w:t>4</w:t>
      </w:r>
    </w:p>
    <w:p w:rsidR="00193F10" w:rsidRPr="00D07B72" w:rsidRDefault="00193F10" w:rsidP="00194AA6">
      <w:pPr>
        <w:jc w:val="center"/>
        <w:rPr>
          <w:sz w:val="22"/>
          <w:szCs w:val="22"/>
        </w:rPr>
      </w:pPr>
    </w:p>
    <w:p w:rsidR="00193F10" w:rsidRDefault="00193F10">
      <w:pPr>
        <w:jc w:val="center"/>
        <w:rPr>
          <w:sz w:val="22"/>
        </w:rPr>
        <w:sectPr w:rsidR="00193F10">
          <w:pgSz w:w="12240" w:h="15840" w:code="1"/>
          <w:pgMar w:top="720" w:right="1152" w:bottom="720" w:left="1152" w:header="720" w:footer="720" w:gutter="0"/>
          <w:paperSrc w:first="7" w:other="7"/>
          <w:pgNumType w:start="1"/>
          <w:cols w:space="720"/>
        </w:sectPr>
      </w:pPr>
    </w:p>
    <w:p w:rsidR="00F94B3C" w:rsidRPr="00F94B3C" w:rsidRDefault="00F94B3C" w:rsidP="00F94B3C">
      <w:pPr>
        <w:pStyle w:val="ListParagraph"/>
        <w:numPr>
          <w:ilvl w:val="0"/>
          <w:numId w:val="14"/>
        </w:numPr>
        <w:spacing w:after="120"/>
        <w:ind w:hanging="720"/>
        <w:contextualSpacing w:val="0"/>
        <w:rPr>
          <w:b/>
          <w:caps/>
          <w:sz w:val="22"/>
        </w:rPr>
      </w:pPr>
      <w:r w:rsidRPr="00F94B3C">
        <w:rPr>
          <w:b/>
          <w:caps/>
          <w:sz w:val="22"/>
        </w:rPr>
        <w:lastRenderedPageBreak/>
        <w:t>General Project INFORMATION</w:t>
      </w:r>
    </w:p>
    <w:p w:rsidR="00F94B3C" w:rsidRDefault="00F94B3C" w:rsidP="00F94B3C">
      <w:pPr>
        <w:pStyle w:val="ListParagraph"/>
        <w:numPr>
          <w:ilvl w:val="1"/>
          <w:numId w:val="15"/>
        </w:numPr>
        <w:spacing w:after="120"/>
        <w:ind w:left="720" w:hanging="720"/>
        <w:contextualSpacing w:val="0"/>
        <w:rPr>
          <w:b/>
          <w:caps/>
          <w:sz w:val="22"/>
        </w:rPr>
      </w:pPr>
      <w:r w:rsidRPr="00327342">
        <w:rPr>
          <w:b/>
          <w:bCs/>
          <w:sz w:val="22"/>
          <w:szCs w:val="22"/>
        </w:rPr>
        <w:t>Facility Description and Location</w:t>
      </w:r>
    </w:p>
    <w:p w:rsidR="00F94B3C" w:rsidRDefault="00F94B3C" w:rsidP="00F94B3C">
      <w:pPr>
        <w:pStyle w:val="BodyText3"/>
        <w:widowControl w:val="0"/>
        <w:numPr>
          <w:ilvl w:val="12"/>
          <w:numId w:val="0"/>
        </w:numPr>
        <w:spacing w:before="0"/>
        <w:rPr>
          <w:bCs/>
        </w:rPr>
      </w:pPr>
      <w:r w:rsidRPr="00041EA0">
        <w:rPr>
          <w:szCs w:val="22"/>
        </w:rPr>
        <w:t>Duke Energy Florida, Inc. (DEF)</w:t>
      </w:r>
      <w:r>
        <w:t xml:space="preserve"> operates the existing </w:t>
      </w:r>
      <w:r>
        <w:rPr>
          <w:szCs w:val="22"/>
        </w:rPr>
        <w:t>University of Florida</w:t>
      </w:r>
      <w:r w:rsidR="003F1121">
        <w:rPr>
          <w:szCs w:val="22"/>
        </w:rPr>
        <w:t xml:space="preserve"> (UF)</w:t>
      </w:r>
      <w:r>
        <w:rPr>
          <w:szCs w:val="22"/>
        </w:rPr>
        <w:t xml:space="preserve"> Cogeneration</w:t>
      </w:r>
      <w:r w:rsidR="00273333">
        <w:rPr>
          <w:szCs w:val="22"/>
        </w:rPr>
        <w:t xml:space="preserve"> (CoGen)</w:t>
      </w:r>
      <w:r>
        <w:rPr>
          <w:szCs w:val="22"/>
        </w:rPr>
        <w:t xml:space="preserve"> Plant</w:t>
      </w:r>
      <w:r>
        <w:t xml:space="preserve"> which is located within the city of Gainesville in Alachua County, Florida (</w:t>
      </w:r>
      <w:r w:rsidRPr="00EA0836">
        <w:t xml:space="preserve">see </w:t>
      </w:r>
      <w:r w:rsidR="00535AAF" w:rsidRPr="00535AAF">
        <w:fldChar w:fldCharType="begin"/>
      </w:r>
      <w:r w:rsidR="00535AAF" w:rsidRPr="00535AAF">
        <w:instrText xml:space="preserve"> REF _Ref381612974 \h  \* MERGEFORMAT </w:instrText>
      </w:r>
      <w:r w:rsidR="00535AAF" w:rsidRPr="00535AAF">
        <w:fldChar w:fldCharType="separate"/>
      </w:r>
      <w:r w:rsidR="00535AAF" w:rsidRPr="00535AAF">
        <w:rPr>
          <w:b/>
          <w:color w:val="000000" w:themeColor="text1"/>
          <w:szCs w:val="22"/>
        </w:rPr>
        <w:t xml:space="preserve">Figure </w:t>
      </w:r>
      <w:r w:rsidR="00535AAF" w:rsidRPr="00535AAF">
        <w:rPr>
          <w:b/>
          <w:noProof/>
          <w:color w:val="000000" w:themeColor="text1"/>
          <w:szCs w:val="22"/>
        </w:rPr>
        <w:t>1</w:t>
      </w:r>
      <w:r w:rsidR="00535AAF" w:rsidRPr="00535AAF">
        <w:fldChar w:fldCharType="end"/>
      </w:r>
      <w:r w:rsidR="00535AAF">
        <w:t xml:space="preserve"> </w:t>
      </w:r>
      <w:r w:rsidRPr="00EA0836">
        <w:t>and</w:t>
      </w:r>
      <w:r>
        <w:t xml:space="preserve"> </w:t>
      </w:r>
      <w:r w:rsidR="00535AAF" w:rsidRPr="00535AAF">
        <w:rPr>
          <w:b/>
        </w:rPr>
        <w:fldChar w:fldCharType="begin"/>
      </w:r>
      <w:r w:rsidR="00535AAF" w:rsidRPr="00535AAF">
        <w:rPr>
          <w:b/>
        </w:rPr>
        <w:instrText xml:space="preserve"> REF _Ref381612999 \h  \* MERGEFORMAT </w:instrText>
      </w:r>
      <w:r w:rsidR="00535AAF" w:rsidRPr="00535AAF">
        <w:rPr>
          <w:b/>
        </w:rPr>
      </w:r>
      <w:r w:rsidR="00535AAF" w:rsidRPr="00535AAF">
        <w:rPr>
          <w:b/>
        </w:rPr>
        <w:fldChar w:fldCharType="separate"/>
      </w:r>
      <w:r w:rsidR="00535AAF" w:rsidRPr="00535AAF">
        <w:rPr>
          <w:b/>
          <w:color w:val="000000" w:themeColor="text1"/>
          <w:szCs w:val="22"/>
        </w:rPr>
        <w:t xml:space="preserve">Figure </w:t>
      </w:r>
      <w:r w:rsidR="00535AAF" w:rsidRPr="00535AAF">
        <w:rPr>
          <w:b/>
          <w:noProof/>
          <w:color w:val="000000" w:themeColor="text1"/>
          <w:szCs w:val="22"/>
        </w:rPr>
        <w:t>2</w:t>
      </w:r>
      <w:r w:rsidR="00535AAF" w:rsidRPr="00535AAF">
        <w:rPr>
          <w:b/>
        </w:rPr>
        <w:fldChar w:fldCharType="end"/>
      </w:r>
      <w:r>
        <w:t xml:space="preserve">).  The facility address is </w:t>
      </w:r>
      <w:r w:rsidRPr="00041EA0">
        <w:rPr>
          <w:szCs w:val="22"/>
        </w:rPr>
        <w:t>1928 Mowry Road, Building 82</w:t>
      </w:r>
      <w:r>
        <w:rPr>
          <w:szCs w:val="22"/>
        </w:rPr>
        <w:t>, Gainesville, Florida 32611</w:t>
      </w:r>
      <w:r>
        <w:t xml:space="preserve">.  </w:t>
      </w:r>
      <w:r w:rsidRPr="00DA0489">
        <w:rPr>
          <w:szCs w:val="22"/>
        </w:rPr>
        <w:t xml:space="preserve">The UTM coordinates are Zone </w:t>
      </w:r>
      <w:r>
        <w:rPr>
          <w:szCs w:val="22"/>
        </w:rPr>
        <w:t>17</w:t>
      </w:r>
      <w:r w:rsidRPr="00DA0489">
        <w:rPr>
          <w:szCs w:val="22"/>
        </w:rPr>
        <w:t xml:space="preserve">, </w:t>
      </w:r>
      <w:r>
        <w:rPr>
          <w:szCs w:val="22"/>
        </w:rPr>
        <w:t>369.39</w:t>
      </w:r>
      <w:r w:rsidRPr="00DA0489">
        <w:rPr>
          <w:szCs w:val="22"/>
        </w:rPr>
        <w:t xml:space="preserve"> </w:t>
      </w:r>
      <w:r>
        <w:rPr>
          <w:szCs w:val="22"/>
        </w:rPr>
        <w:t>kilometers (</w:t>
      </w:r>
      <w:r w:rsidRPr="00DA0489">
        <w:rPr>
          <w:szCs w:val="22"/>
        </w:rPr>
        <w:t>km</w:t>
      </w:r>
      <w:r>
        <w:rPr>
          <w:szCs w:val="22"/>
        </w:rPr>
        <w:t>)</w:t>
      </w:r>
      <w:r w:rsidRPr="00DA0489">
        <w:rPr>
          <w:szCs w:val="22"/>
        </w:rPr>
        <w:t xml:space="preserve"> East, and </w:t>
      </w:r>
      <w:r>
        <w:rPr>
          <w:szCs w:val="22"/>
        </w:rPr>
        <w:t xml:space="preserve">3279.29 </w:t>
      </w:r>
      <w:r w:rsidRPr="00DA0489">
        <w:rPr>
          <w:szCs w:val="22"/>
        </w:rPr>
        <w:t>km North.</w:t>
      </w:r>
      <w:r>
        <w:rPr>
          <w:szCs w:val="22"/>
        </w:rPr>
        <w:t xml:space="preserve">  </w:t>
      </w:r>
      <w:r w:rsidRPr="00C34C85">
        <w:t xml:space="preserve">The facility is an electrical power generating plant with a </w:t>
      </w:r>
      <w:r w:rsidRPr="00C34C85">
        <w:rPr>
          <w:bCs/>
        </w:rPr>
        <w:t xml:space="preserve">Standard Industrial Classification Code </w:t>
      </w:r>
      <w:r>
        <w:rPr>
          <w:bCs/>
        </w:rPr>
        <w:t>(</w:t>
      </w:r>
      <w:r w:rsidRPr="00C34C85">
        <w:rPr>
          <w:bCs/>
        </w:rPr>
        <w:t>SIC</w:t>
      </w:r>
      <w:r>
        <w:rPr>
          <w:bCs/>
        </w:rPr>
        <w:t>)</w:t>
      </w:r>
      <w:r w:rsidRPr="00C34C85">
        <w:rPr>
          <w:bCs/>
        </w:rPr>
        <w:t xml:space="preserve"> of No. 4911.</w:t>
      </w:r>
    </w:p>
    <w:p w:rsidR="00F94B3C" w:rsidRPr="00F94B3C" w:rsidRDefault="007F6778" w:rsidP="003F0461">
      <w:pPr>
        <w:tabs>
          <w:tab w:val="left" w:pos="4770"/>
        </w:tabs>
        <w:spacing w:after="120"/>
        <w:rPr>
          <w:caps/>
          <w:sz w:val="22"/>
        </w:rPr>
      </w:pPr>
      <w:r>
        <w:rPr>
          <w:caps/>
          <w:noProof/>
          <w:sz w:val="22"/>
        </w:rPr>
        <mc:AlternateContent>
          <mc:Choice Requires="wps">
            <w:drawing>
              <wp:anchor distT="0" distB="0" distL="114300" distR="114300" simplePos="0" relativeHeight="251664384" behindDoc="0" locked="0" layoutInCell="1" allowOverlap="1">
                <wp:simplePos x="0" y="0"/>
                <wp:positionH relativeFrom="column">
                  <wp:posOffset>4035425</wp:posOffset>
                </wp:positionH>
                <wp:positionV relativeFrom="paragraph">
                  <wp:posOffset>1482461</wp:posOffset>
                </wp:positionV>
                <wp:extent cx="228061" cy="207034"/>
                <wp:effectExtent l="38100" t="38100" r="38735" b="40640"/>
                <wp:wrapNone/>
                <wp:docPr id="14" name="5-Point Star 14"/>
                <wp:cNvGraphicFramePr/>
                <a:graphic xmlns:a="http://schemas.openxmlformats.org/drawingml/2006/main">
                  <a:graphicData uri="http://schemas.microsoft.com/office/word/2010/wordprocessingShape">
                    <wps:wsp>
                      <wps:cNvSpPr/>
                      <wps:spPr>
                        <a:xfrm>
                          <a:off x="0" y="0"/>
                          <a:ext cx="228061" cy="207034"/>
                        </a:xfrm>
                        <a:prstGeom prst="star5">
                          <a:avLst/>
                        </a:prstGeom>
                        <a:solidFill>
                          <a:srgbClr val="FF0000"/>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36C9F2BD" id="5-Point Star 14" o:spid="_x0000_s1026" style="position:absolute;margin-left:317.75pt;margin-top:116.75pt;width:17.95pt;height:16.3pt;z-index:251664384;visibility:visible;mso-wrap-style:square;mso-wrap-distance-left:9pt;mso-wrap-distance-top:0;mso-wrap-distance-right:9pt;mso-wrap-distance-bottom:0;mso-position-horizontal:absolute;mso-position-horizontal-relative:text;mso-position-vertical:absolute;mso-position-vertical-relative:text;v-text-anchor:middle" coordsize="228061,20703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" path="m,79080r87112,l114031,r26918,79080l228061,79080r-70476,48874l184505,207033,114031,158159,43556,207033,70476,127954,,79080xe" fillcolor="red" strokecolor="#1f4d78 [1604]" strokeweight="1pt">
                <v:stroke joinstyle="miter"/>
                <v:path arrowok="t" o:connecttype="custom" o:connectlocs="0,79080;87112,79080;114031,0;140949,79080;228061,79080;157585,127954;184505,207033;114031,158159;43556,207033;70476,127954;0,79080" o:connectangles="0,0,0,0,0,0,0,0,0,0,0"/>
              </v:shape>
            </w:pict>
          </mc:Fallback>
        </mc:AlternateContent>
      </w:r>
      <w:r w:rsidR="003F0461">
        <w:rPr>
          <w:caps/>
          <w:noProof/>
          <w:sz w:val="22"/>
        </w:rPr>
        <mc:AlternateContent>
          <mc:Choice Requires="wps">
            <w:drawing>
              <wp:anchor distT="0" distB="0" distL="114300" distR="114300" simplePos="0" relativeHeight="251659264" behindDoc="0" locked="0" layoutInCell="1" allowOverlap="1" wp14:anchorId="40C142B4" wp14:editId="5128CD9B">
                <wp:simplePos x="0" y="0"/>
                <wp:positionH relativeFrom="column">
                  <wp:posOffset>925183</wp:posOffset>
                </wp:positionH>
                <wp:positionV relativeFrom="paragraph">
                  <wp:posOffset>630603</wp:posOffset>
                </wp:positionV>
                <wp:extent cx="914400" cy="485775"/>
                <wp:effectExtent l="0" t="38100" r="57150" b="28575"/>
                <wp:wrapNone/>
                <wp:docPr id="4" name="Straight Arrow Connector 4"/>
                <wp:cNvGraphicFramePr/>
                <a:graphic xmlns:a="http://schemas.openxmlformats.org/drawingml/2006/main">
                  <a:graphicData uri="http://schemas.microsoft.com/office/word/2010/wordprocessingShape">
                    <wps:wsp>
                      <wps:cNvCnPr/>
                      <wps:spPr>
                        <a:xfrm flipV="1">
                          <a:off x="0" y="0"/>
                          <a:ext cx="914400" cy="485775"/>
                        </a:xfrm>
                        <a:prstGeom prst="straightConnector1">
                          <a:avLst/>
                        </a:prstGeom>
                        <a:ln w="12700">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type w14:anchorId="26EBF6BC" id="_x0000_t32" coordsize="21600,21600" o:spt="32" o:oned="t" path="m,l21600,21600e" filled="f">
                <v:path arrowok="t" fillok="f" o:connecttype="none"/>
                <o:lock v:ext="edit" shapetype="t"/>
              </v:shapetype>
              <v:shape id="Straight Arrow Connector 4" o:spid="_x0000_s1026" type="#_x0000_t32" style="position:absolute;margin-left:72.85pt;margin-top:49.65pt;width:1in;height:38.25pt;flip:y;z-index:25165926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" strokecolor="black [3213]" strokeweight="1pt">
                <v:stroke endarrow="block" joinstyle="miter"/>
              </v:shape>
            </w:pict>
          </mc:Fallback>
        </mc:AlternateContent>
      </w:r>
      <w:r w:rsidR="003F0461">
        <w:rPr>
          <w:caps/>
          <w:noProof/>
          <w:sz w:val="22"/>
        </w:rPr>
        <mc:AlternateContent>
          <mc:Choice Requires="wps">
            <w:drawing>
              <wp:anchor distT="0" distB="0" distL="114300" distR="114300" simplePos="0" relativeHeight="251660288" behindDoc="0" locked="0" layoutInCell="1" allowOverlap="1" wp14:anchorId="25648176" wp14:editId="1BC750A7">
                <wp:simplePos x="0" y="0"/>
                <wp:positionH relativeFrom="column">
                  <wp:posOffset>485775</wp:posOffset>
                </wp:positionH>
                <wp:positionV relativeFrom="paragraph">
                  <wp:posOffset>1083310</wp:posOffset>
                </wp:positionV>
                <wp:extent cx="857250" cy="504825"/>
                <wp:effectExtent l="0" t="0" r="0" b="0"/>
                <wp:wrapNone/>
                <wp:docPr id="5" name="Text Box 5"/>
                <wp:cNvGraphicFramePr/>
                <a:graphic xmlns:a="http://schemas.openxmlformats.org/drawingml/2006/main">
                  <a:graphicData uri="http://schemas.microsoft.com/office/word/2010/wordprocessingShape">
                    <wps:wsp>
                      <wps:cNvSpPr txBox="1"/>
                      <wps:spPr>
                        <a:xfrm>
                          <a:off x="0" y="0"/>
                          <a:ext cx="857250" cy="50482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1948FC" w:rsidRPr="003F0461" w:rsidRDefault="001948FC">
                            <w:pPr>
                              <w:rPr>
                                <w:b/>
                                <w:sz w:val="24"/>
                                <w:szCs w:val="24"/>
                              </w:rPr>
                            </w:pPr>
                            <w:r w:rsidRPr="003F0461">
                              <w:rPr>
                                <w:b/>
                                <w:sz w:val="24"/>
                                <w:szCs w:val="24"/>
                              </w:rPr>
                              <w:t>Alachua</w:t>
                            </w:r>
                            <w:r w:rsidRPr="003F0461">
                              <w:rPr>
                                <w:b/>
                                <w:sz w:val="24"/>
                                <w:szCs w:val="24"/>
                              </w:rPr>
                              <w:br/>
                              <w:t>County</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type w14:anchorId="25648176" id="_x0000_t202" coordsize="21600,21600" o:spt="202" path="m,l,21600r21600,l21600,xe">
                <v:stroke joinstyle="miter"/>
                <v:path gradientshapeok="t" o:connecttype="rect"/>
              </v:shapetype>
              <v:shape id="Text Box 5" o:spid="_x0000_s1026" type="#_x0000_t202" style="position:absolute;margin-left:38.25pt;margin-top:85.3pt;width:67.5pt;height:39.75pt;z-index:25166028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" filled="f" stroked="f" strokeweight=".5pt">
                <v:textbox>
                  <w:txbxContent>
                    <w:p w:rsidR="001948FC" w:rsidRPr="003F0461" w:rsidRDefault="001948FC">
                      <w:pPr>
                        <w:rPr>
                          <w:b/>
                          <w:sz w:val="24"/>
                          <w:szCs w:val="24"/>
                        </w:rPr>
                      </w:pPr>
                      <w:r w:rsidRPr="003F0461">
                        <w:rPr>
                          <w:b/>
                          <w:sz w:val="24"/>
                          <w:szCs w:val="24"/>
                        </w:rPr>
                        <w:t>Alachua</w:t>
                      </w:r>
                      <w:r w:rsidRPr="003F0461">
                        <w:rPr>
                          <w:b/>
                          <w:sz w:val="24"/>
                          <w:szCs w:val="24"/>
                        </w:rPr>
                        <w:br/>
                        <w:t>County</w:t>
                      </w:r>
                    </w:p>
                  </w:txbxContent>
                </v:textbox>
              </v:shape>
            </w:pict>
          </mc:Fallback>
        </mc:AlternateContent>
      </w:r>
      <w:r w:rsidR="003F0461">
        <w:rPr>
          <w:caps/>
          <w:noProof/>
          <w:sz w:val="22"/>
        </w:rPr>
        <w:drawing>
          <wp:inline distT="0" distB="0" distL="0" distR="0" wp14:anchorId="486DE6C4" wp14:editId="3B3ACDB6">
            <wp:extent cx="2692686" cy="2683726"/>
            <wp:effectExtent l="19050" t="19050" r="12700" b="2159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Alachua_County_svg.png"/>
                    <pic:cNvPicPr/>
                  </pic:nvPicPr>
                  <pic:blipFill>
                    <a:blip r:embed="rId9">
                      <a:extLst>
                        <a:ext uri="{28A0092B-C50C-407E-A947-70E740481C1C}">
                          <a14:useLocalDpi xmlns:a14="http://schemas.microsoft.com/office/drawing/2010/main" val="0"/>
                        </a:ext>
                      </a:extLst>
                    </a:blip>
                    <a:stretch>
                      <a:fillRect/>
                    </a:stretch>
                  </pic:blipFill>
                  <pic:spPr>
                    <a:xfrm>
                      <a:off x="0" y="0"/>
                      <a:ext cx="2733825" cy="2724728"/>
                    </a:xfrm>
                    <a:prstGeom prst="rect">
                      <a:avLst/>
                    </a:prstGeom>
                    <a:ln w="19050">
                      <a:solidFill>
                        <a:schemeClr val="tx1"/>
                      </a:solidFill>
                    </a:ln>
                  </pic:spPr>
                </pic:pic>
              </a:graphicData>
            </a:graphic>
          </wp:inline>
        </w:drawing>
      </w:r>
      <w:r w:rsidR="003F0461">
        <w:rPr>
          <w:caps/>
          <w:sz w:val="22"/>
        </w:rPr>
        <w:tab/>
      </w:r>
      <w:r w:rsidRPr="007F6778">
        <w:rPr>
          <w:noProof/>
        </w:rPr>
        <w:drawing>
          <wp:inline distT="0" distB="0" distL="0" distR="0" wp14:anchorId="43D388A8" wp14:editId="085BC1AD">
            <wp:extent cx="3303212" cy="2716458"/>
            <wp:effectExtent l="19050" t="19050" r="12065" b="2730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3328053" cy="2736886"/>
                    </a:xfrm>
                    <a:prstGeom prst="rect">
                      <a:avLst/>
                    </a:prstGeom>
                    <a:ln w="12700">
                      <a:solidFill>
                        <a:schemeClr val="tx1"/>
                      </a:solidFill>
                    </a:ln>
                  </pic:spPr>
                </pic:pic>
              </a:graphicData>
            </a:graphic>
          </wp:inline>
        </w:drawing>
      </w:r>
    </w:p>
    <w:p w:rsidR="00F94B3C" w:rsidRPr="003F1121" w:rsidRDefault="003F1121" w:rsidP="00273333">
      <w:pPr>
        <w:pStyle w:val="Caption"/>
        <w:tabs>
          <w:tab w:val="left" w:pos="5580"/>
        </w:tabs>
        <w:spacing w:after="120"/>
        <w:ind w:left="547"/>
        <w:rPr>
          <w:b/>
          <w:i w:val="0"/>
          <w:caps/>
          <w:color w:val="000000" w:themeColor="text1"/>
          <w:sz w:val="22"/>
          <w:szCs w:val="22"/>
        </w:rPr>
      </w:pPr>
      <w:bookmarkStart w:id="0" w:name="_Ref381612974"/>
      <w:r w:rsidRPr="003F1121">
        <w:rPr>
          <w:b/>
          <w:i w:val="0"/>
          <w:color w:val="000000" w:themeColor="text1"/>
          <w:sz w:val="22"/>
          <w:szCs w:val="22"/>
        </w:rPr>
        <w:t xml:space="preserve">Figure </w:t>
      </w:r>
      <w:r w:rsidRPr="003F1121">
        <w:rPr>
          <w:b/>
          <w:i w:val="0"/>
          <w:color w:val="000000" w:themeColor="text1"/>
          <w:sz w:val="22"/>
          <w:szCs w:val="22"/>
        </w:rPr>
        <w:fldChar w:fldCharType="begin"/>
      </w:r>
      <w:r w:rsidRPr="003F1121">
        <w:rPr>
          <w:b/>
          <w:i w:val="0"/>
          <w:color w:val="000000" w:themeColor="text1"/>
          <w:sz w:val="22"/>
          <w:szCs w:val="22"/>
        </w:rPr>
        <w:instrText xml:space="preserve"> SEQ Figure \* ARABIC </w:instrText>
      </w:r>
      <w:r w:rsidRPr="003F1121">
        <w:rPr>
          <w:b/>
          <w:i w:val="0"/>
          <w:color w:val="000000" w:themeColor="text1"/>
          <w:sz w:val="22"/>
          <w:szCs w:val="22"/>
        </w:rPr>
        <w:fldChar w:fldCharType="separate"/>
      </w:r>
      <w:r w:rsidR="00CF7988">
        <w:rPr>
          <w:b/>
          <w:i w:val="0"/>
          <w:noProof/>
          <w:color w:val="000000" w:themeColor="text1"/>
          <w:sz w:val="22"/>
          <w:szCs w:val="22"/>
        </w:rPr>
        <w:t>1</w:t>
      </w:r>
      <w:r w:rsidRPr="003F1121">
        <w:rPr>
          <w:b/>
          <w:i w:val="0"/>
          <w:color w:val="000000" w:themeColor="text1"/>
          <w:sz w:val="22"/>
          <w:szCs w:val="22"/>
        </w:rPr>
        <w:fldChar w:fldCharType="end"/>
      </w:r>
      <w:bookmarkEnd w:id="0"/>
      <w:r w:rsidRPr="003F1121">
        <w:rPr>
          <w:b/>
          <w:i w:val="0"/>
          <w:color w:val="000000" w:themeColor="text1"/>
          <w:sz w:val="22"/>
          <w:szCs w:val="22"/>
        </w:rPr>
        <w:t xml:space="preserve"> – Alachua County in Florida.</w:t>
      </w:r>
      <w:r w:rsidRPr="003F1121">
        <w:rPr>
          <w:b/>
          <w:i w:val="0"/>
          <w:color w:val="000000" w:themeColor="text1"/>
          <w:sz w:val="22"/>
          <w:szCs w:val="22"/>
        </w:rPr>
        <w:tab/>
      </w:r>
      <w:bookmarkStart w:id="1" w:name="_Ref381612999"/>
      <w:r w:rsidRPr="003F1121">
        <w:rPr>
          <w:b/>
          <w:i w:val="0"/>
          <w:color w:val="000000" w:themeColor="text1"/>
          <w:sz w:val="22"/>
          <w:szCs w:val="22"/>
        </w:rPr>
        <w:t xml:space="preserve">Figure </w:t>
      </w:r>
      <w:r w:rsidRPr="003F1121">
        <w:rPr>
          <w:b/>
          <w:i w:val="0"/>
          <w:color w:val="000000" w:themeColor="text1"/>
          <w:sz w:val="22"/>
          <w:szCs w:val="22"/>
        </w:rPr>
        <w:fldChar w:fldCharType="begin"/>
      </w:r>
      <w:r w:rsidRPr="003F1121">
        <w:rPr>
          <w:b/>
          <w:i w:val="0"/>
          <w:color w:val="000000" w:themeColor="text1"/>
          <w:sz w:val="22"/>
          <w:szCs w:val="22"/>
        </w:rPr>
        <w:instrText xml:space="preserve"> SEQ Figure \* ARABIC </w:instrText>
      </w:r>
      <w:r w:rsidRPr="003F1121">
        <w:rPr>
          <w:b/>
          <w:i w:val="0"/>
          <w:color w:val="000000" w:themeColor="text1"/>
          <w:sz w:val="22"/>
          <w:szCs w:val="22"/>
        </w:rPr>
        <w:fldChar w:fldCharType="separate"/>
      </w:r>
      <w:r w:rsidR="00CF7988">
        <w:rPr>
          <w:b/>
          <w:i w:val="0"/>
          <w:noProof/>
          <w:color w:val="000000" w:themeColor="text1"/>
          <w:sz w:val="22"/>
          <w:szCs w:val="22"/>
        </w:rPr>
        <w:t>2</w:t>
      </w:r>
      <w:r w:rsidRPr="003F1121">
        <w:rPr>
          <w:b/>
          <w:i w:val="0"/>
          <w:color w:val="000000" w:themeColor="text1"/>
          <w:sz w:val="22"/>
          <w:szCs w:val="22"/>
        </w:rPr>
        <w:fldChar w:fldCharType="end"/>
      </w:r>
      <w:bookmarkEnd w:id="1"/>
      <w:r w:rsidRPr="003F1121">
        <w:rPr>
          <w:b/>
          <w:i w:val="0"/>
          <w:color w:val="000000" w:themeColor="text1"/>
          <w:sz w:val="22"/>
          <w:szCs w:val="22"/>
        </w:rPr>
        <w:t xml:space="preserve"> – Location of UF </w:t>
      </w:r>
      <w:r w:rsidR="00273333">
        <w:rPr>
          <w:b/>
          <w:i w:val="0"/>
          <w:color w:val="000000" w:themeColor="text1"/>
          <w:sz w:val="22"/>
          <w:szCs w:val="22"/>
        </w:rPr>
        <w:t>CoGen</w:t>
      </w:r>
      <w:r w:rsidRPr="003F1121">
        <w:rPr>
          <w:b/>
          <w:i w:val="0"/>
          <w:color w:val="000000" w:themeColor="text1"/>
          <w:sz w:val="22"/>
          <w:szCs w:val="22"/>
        </w:rPr>
        <w:t xml:space="preserve"> </w:t>
      </w:r>
      <w:r>
        <w:rPr>
          <w:b/>
          <w:i w:val="0"/>
          <w:color w:val="000000" w:themeColor="text1"/>
          <w:sz w:val="22"/>
          <w:szCs w:val="22"/>
        </w:rPr>
        <w:t>Plant</w:t>
      </w:r>
      <w:r w:rsidRPr="003F1121">
        <w:rPr>
          <w:b/>
          <w:i w:val="0"/>
          <w:color w:val="000000" w:themeColor="text1"/>
          <w:sz w:val="22"/>
          <w:szCs w:val="22"/>
        </w:rPr>
        <w:t>.</w:t>
      </w:r>
    </w:p>
    <w:p w:rsidR="00F94B3C" w:rsidRDefault="00FB7384" w:rsidP="003F1121">
      <w:pPr>
        <w:spacing w:after="120"/>
        <w:jc w:val="center"/>
        <w:rPr>
          <w:caps/>
          <w:sz w:val="22"/>
        </w:rPr>
      </w:pPr>
      <w:r w:rsidRPr="002C6DB5">
        <w:rPr>
          <w:noProof/>
        </w:rPr>
        <w:drawing>
          <wp:inline distT="0" distB="0" distL="0" distR="0" wp14:anchorId="68F65D6D" wp14:editId="4E6B1FA0">
            <wp:extent cx="3881886" cy="3374499"/>
            <wp:effectExtent l="19050" t="19050" r="23495" b="1651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1"/>
                    <a:srcRect l="13791" t="12544" r="11890" b="14940"/>
                    <a:stretch/>
                  </pic:blipFill>
                  <pic:spPr bwMode="auto">
                    <a:xfrm>
                      <a:off x="0" y="0"/>
                      <a:ext cx="3890150" cy="3381683"/>
                    </a:xfrm>
                    <a:prstGeom prst="rect">
                      <a:avLst/>
                    </a:prstGeom>
                    <a:ln w="12700">
                      <a:solidFill>
                        <a:schemeClr val="tx1"/>
                      </a:solidFill>
                    </a:ln>
                    <a:extLst>
                      <a:ext uri="{53640926-AAD7-44D8-BBD7-CCE9431645EC}">
                        <a14:shadowObscured xmlns:a14="http://schemas.microsoft.com/office/drawing/2010/main"/>
                      </a:ext>
                    </a:extLst>
                  </pic:spPr>
                </pic:pic>
              </a:graphicData>
            </a:graphic>
          </wp:inline>
        </w:drawing>
      </w:r>
    </w:p>
    <w:p w:rsidR="008F1519" w:rsidRPr="003F1121" w:rsidRDefault="003F1121" w:rsidP="003F1121">
      <w:pPr>
        <w:pStyle w:val="Caption"/>
        <w:spacing w:after="120"/>
        <w:jc w:val="center"/>
        <w:rPr>
          <w:b/>
          <w:i w:val="0"/>
          <w:caps/>
          <w:color w:val="000000" w:themeColor="text1"/>
          <w:sz w:val="22"/>
          <w:szCs w:val="22"/>
        </w:rPr>
      </w:pPr>
      <w:bookmarkStart w:id="2" w:name="_Ref381613030"/>
      <w:r w:rsidRPr="003F1121">
        <w:rPr>
          <w:b/>
          <w:i w:val="0"/>
          <w:color w:val="000000" w:themeColor="text1"/>
          <w:sz w:val="22"/>
          <w:szCs w:val="22"/>
        </w:rPr>
        <w:t xml:space="preserve">Figure </w:t>
      </w:r>
      <w:r w:rsidRPr="003F1121">
        <w:rPr>
          <w:b/>
          <w:i w:val="0"/>
          <w:color w:val="000000" w:themeColor="text1"/>
          <w:sz w:val="22"/>
          <w:szCs w:val="22"/>
        </w:rPr>
        <w:fldChar w:fldCharType="begin"/>
      </w:r>
      <w:r w:rsidRPr="003F1121">
        <w:rPr>
          <w:b/>
          <w:i w:val="0"/>
          <w:color w:val="000000" w:themeColor="text1"/>
          <w:sz w:val="22"/>
          <w:szCs w:val="22"/>
        </w:rPr>
        <w:instrText xml:space="preserve"> SEQ Figure \* ARABIC </w:instrText>
      </w:r>
      <w:r w:rsidRPr="003F1121">
        <w:rPr>
          <w:b/>
          <w:i w:val="0"/>
          <w:color w:val="000000" w:themeColor="text1"/>
          <w:sz w:val="22"/>
          <w:szCs w:val="22"/>
        </w:rPr>
        <w:fldChar w:fldCharType="separate"/>
      </w:r>
      <w:r w:rsidR="00CF7988">
        <w:rPr>
          <w:b/>
          <w:i w:val="0"/>
          <w:noProof/>
          <w:color w:val="000000" w:themeColor="text1"/>
          <w:sz w:val="22"/>
          <w:szCs w:val="22"/>
        </w:rPr>
        <w:t>3</w:t>
      </w:r>
      <w:r w:rsidRPr="003F1121">
        <w:rPr>
          <w:b/>
          <w:i w:val="0"/>
          <w:color w:val="000000" w:themeColor="text1"/>
          <w:sz w:val="22"/>
          <w:szCs w:val="22"/>
        </w:rPr>
        <w:fldChar w:fldCharType="end"/>
      </w:r>
      <w:bookmarkEnd w:id="2"/>
      <w:r>
        <w:rPr>
          <w:b/>
          <w:i w:val="0"/>
          <w:color w:val="000000" w:themeColor="text1"/>
          <w:sz w:val="22"/>
          <w:szCs w:val="22"/>
        </w:rPr>
        <w:t xml:space="preserve"> – Satellite View of UF </w:t>
      </w:r>
      <w:r w:rsidR="00273333">
        <w:rPr>
          <w:b/>
          <w:i w:val="0"/>
          <w:color w:val="000000" w:themeColor="text1"/>
          <w:sz w:val="22"/>
          <w:szCs w:val="22"/>
        </w:rPr>
        <w:t>CoGen</w:t>
      </w:r>
      <w:r>
        <w:rPr>
          <w:b/>
          <w:i w:val="0"/>
          <w:color w:val="000000" w:themeColor="text1"/>
          <w:sz w:val="22"/>
          <w:szCs w:val="22"/>
        </w:rPr>
        <w:t xml:space="preserve"> Plant.</w:t>
      </w:r>
    </w:p>
    <w:p w:rsidR="008F1519" w:rsidRPr="00535AAF" w:rsidRDefault="00535AAF">
      <w:pPr>
        <w:spacing w:after="120"/>
        <w:rPr>
          <w:sz w:val="22"/>
        </w:rPr>
      </w:pPr>
      <w:r w:rsidRPr="00535AAF">
        <w:rPr>
          <w:b/>
          <w:caps/>
          <w:sz w:val="22"/>
        </w:rPr>
        <w:lastRenderedPageBreak/>
        <w:fldChar w:fldCharType="begin"/>
      </w:r>
      <w:r w:rsidRPr="00535AAF">
        <w:rPr>
          <w:b/>
          <w:caps/>
          <w:sz w:val="22"/>
        </w:rPr>
        <w:instrText xml:space="preserve"> REF _Ref381613030 \h  \* MERGEFORMAT </w:instrText>
      </w:r>
      <w:r w:rsidRPr="00535AAF">
        <w:rPr>
          <w:b/>
          <w:caps/>
          <w:sz w:val="22"/>
        </w:rPr>
      </w:r>
      <w:r w:rsidRPr="00535AAF">
        <w:rPr>
          <w:b/>
          <w:caps/>
          <w:sz w:val="22"/>
        </w:rPr>
        <w:fldChar w:fldCharType="separate"/>
      </w:r>
      <w:r w:rsidRPr="00535AAF">
        <w:rPr>
          <w:b/>
          <w:color w:val="000000" w:themeColor="text1"/>
          <w:sz w:val="22"/>
          <w:szCs w:val="22"/>
        </w:rPr>
        <w:t xml:space="preserve">Figure </w:t>
      </w:r>
      <w:r w:rsidRPr="00535AAF">
        <w:rPr>
          <w:b/>
          <w:noProof/>
          <w:color w:val="000000" w:themeColor="text1"/>
          <w:sz w:val="22"/>
          <w:szCs w:val="22"/>
        </w:rPr>
        <w:t>3</w:t>
      </w:r>
      <w:r w:rsidRPr="00535AAF">
        <w:rPr>
          <w:b/>
          <w:caps/>
          <w:sz w:val="22"/>
        </w:rPr>
        <w:fldChar w:fldCharType="end"/>
      </w:r>
      <w:r>
        <w:rPr>
          <w:caps/>
          <w:sz w:val="22"/>
        </w:rPr>
        <w:t xml:space="preserve"> </w:t>
      </w:r>
      <w:r w:rsidRPr="00535AAF">
        <w:rPr>
          <w:sz w:val="22"/>
        </w:rPr>
        <w:t xml:space="preserve">above shows a satellite view of the UF </w:t>
      </w:r>
      <w:r w:rsidR="00273333">
        <w:rPr>
          <w:sz w:val="22"/>
        </w:rPr>
        <w:t>CoGen</w:t>
      </w:r>
      <w:r w:rsidRPr="00535AAF">
        <w:rPr>
          <w:sz w:val="22"/>
        </w:rPr>
        <w:t xml:space="preserve"> planet while </w:t>
      </w:r>
      <w:r w:rsidR="009F4401" w:rsidRPr="009F4401">
        <w:rPr>
          <w:b/>
          <w:sz w:val="22"/>
        </w:rPr>
        <w:fldChar w:fldCharType="begin"/>
      </w:r>
      <w:r w:rsidR="009F4401" w:rsidRPr="009F4401">
        <w:rPr>
          <w:b/>
          <w:sz w:val="22"/>
        </w:rPr>
        <w:instrText xml:space="preserve"> REF _Ref381613471 \h  \* MERGEFORMAT </w:instrText>
      </w:r>
      <w:r w:rsidR="009F4401" w:rsidRPr="009F4401">
        <w:rPr>
          <w:b/>
          <w:sz w:val="22"/>
        </w:rPr>
      </w:r>
      <w:r w:rsidR="009F4401" w:rsidRPr="009F4401">
        <w:rPr>
          <w:b/>
          <w:sz w:val="22"/>
        </w:rPr>
        <w:fldChar w:fldCharType="separate"/>
      </w:r>
      <w:r w:rsidR="009F4401" w:rsidRPr="009F4401">
        <w:rPr>
          <w:b/>
          <w:color w:val="000000" w:themeColor="text1"/>
          <w:sz w:val="22"/>
          <w:szCs w:val="22"/>
        </w:rPr>
        <w:t xml:space="preserve">Figure </w:t>
      </w:r>
      <w:r w:rsidR="009F4401" w:rsidRPr="009F4401">
        <w:rPr>
          <w:b/>
          <w:noProof/>
          <w:color w:val="000000" w:themeColor="text1"/>
          <w:sz w:val="22"/>
          <w:szCs w:val="22"/>
        </w:rPr>
        <w:t>4</w:t>
      </w:r>
      <w:r w:rsidR="009F4401" w:rsidRPr="009F4401">
        <w:rPr>
          <w:b/>
          <w:sz w:val="22"/>
        </w:rPr>
        <w:fldChar w:fldCharType="end"/>
      </w:r>
      <w:r w:rsidR="009F4401" w:rsidRPr="009F4401">
        <w:rPr>
          <w:b/>
          <w:sz w:val="22"/>
        </w:rPr>
        <w:t xml:space="preserve"> and </w:t>
      </w:r>
      <w:r w:rsidR="009F4401" w:rsidRPr="009F4401">
        <w:rPr>
          <w:b/>
          <w:sz w:val="22"/>
        </w:rPr>
        <w:fldChar w:fldCharType="begin"/>
      </w:r>
      <w:r w:rsidR="009F4401" w:rsidRPr="009F4401">
        <w:rPr>
          <w:b/>
          <w:sz w:val="22"/>
        </w:rPr>
        <w:instrText xml:space="preserve"> REF _Ref381613480 \h  \* MERGEFORMAT </w:instrText>
      </w:r>
      <w:r w:rsidR="009F4401" w:rsidRPr="009F4401">
        <w:rPr>
          <w:b/>
          <w:sz w:val="22"/>
        </w:rPr>
      </w:r>
      <w:r w:rsidR="009F4401" w:rsidRPr="009F4401">
        <w:rPr>
          <w:b/>
          <w:sz w:val="22"/>
        </w:rPr>
        <w:fldChar w:fldCharType="separate"/>
      </w:r>
      <w:r w:rsidR="009F4401" w:rsidRPr="009F4401">
        <w:rPr>
          <w:b/>
          <w:color w:val="000000" w:themeColor="text1"/>
          <w:sz w:val="22"/>
          <w:szCs w:val="22"/>
        </w:rPr>
        <w:t xml:space="preserve">Figure </w:t>
      </w:r>
      <w:r w:rsidR="009F4401" w:rsidRPr="009F4401">
        <w:rPr>
          <w:b/>
          <w:noProof/>
          <w:color w:val="000000" w:themeColor="text1"/>
          <w:sz w:val="22"/>
          <w:szCs w:val="22"/>
        </w:rPr>
        <w:t>5</w:t>
      </w:r>
      <w:r w:rsidR="009F4401" w:rsidRPr="009F4401">
        <w:rPr>
          <w:b/>
          <w:sz w:val="22"/>
        </w:rPr>
        <w:fldChar w:fldCharType="end"/>
      </w:r>
      <w:r w:rsidR="009F4401" w:rsidRPr="009F4401">
        <w:rPr>
          <w:sz w:val="22"/>
        </w:rPr>
        <w:t xml:space="preserve"> </w:t>
      </w:r>
      <w:r w:rsidRPr="009F4401">
        <w:rPr>
          <w:sz w:val="22"/>
        </w:rPr>
        <w:t>b</w:t>
      </w:r>
      <w:r>
        <w:rPr>
          <w:sz w:val="22"/>
        </w:rPr>
        <w:t xml:space="preserve">elow </w:t>
      </w:r>
      <w:r w:rsidRPr="00535AAF">
        <w:rPr>
          <w:sz w:val="22"/>
        </w:rPr>
        <w:t>show</w:t>
      </w:r>
      <w:r w:rsidR="0087711E">
        <w:rPr>
          <w:sz w:val="22"/>
        </w:rPr>
        <w:t xml:space="preserve"> two</w:t>
      </w:r>
      <w:r w:rsidRPr="00535AAF">
        <w:rPr>
          <w:sz w:val="22"/>
        </w:rPr>
        <w:t xml:space="preserve"> view</w:t>
      </w:r>
      <w:r w:rsidR="0087711E">
        <w:rPr>
          <w:sz w:val="22"/>
        </w:rPr>
        <w:t>s</w:t>
      </w:r>
      <w:r w:rsidRPr="00535AAF">
        <w:rPr>
          <w:sz w:val="22"/>
        </w:rPr>
        <w:t xml:space="preserve"> of the combustion turbine</w:t>
      </w:r>
      <w:r>
        <w:rPr>
          <w:sz w:val="22"/>
        </w:rPr>
        <w:t xml:space="preserve"> (CT)</w:t>
      </w:r>
      <w:r w:rsidRPr="00535AAF">
        <w:rPr>
          <w:sz w:val="22"/>
        </w:rPr>
        <w:t xml:space="preserve"> at the plant.</w:t>
      </w:r>
    </w:p>
    <w:p w:rsidR="008F1519" w:rsidRDefault="00535AAF" w:rsidP="00535AAF">
      <w:pPr>
        <w:tabs>
          <w:tab w:val="left" w:pos="4500"/>
        </w:tabs>
        <w:spacing w:after="120"/>
        <w:rPr>
          <w:caps/>
          <w:sz w:val="22"/>
        </w:rPr>
      </w:pPr>
      <w:r>
        <w:rPr>
          <w:caps/>
          <w:noProof/>
          <w:sz w:val="22"/>
        </w:rPr>
        <w:drawing>
          <wp:inline distT="0" distB="0" distL="0" distR="0" wp14:anchorId="24C6D081" wp14:editId="7A39B02A">
            <wp:extent cx="2784247" cy="2533542"/>
            <wp:effectExtent l="19050" t="19050" r="16510" b="1968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UF Cogen.jpg"/>
                    <pic:cNvPicPr/>
                  </pic:nvPicPr>
                  <pic:blipFill rotWithShape="1">
                    <a:blip r:embed="rId12" cstate="print">
                      <a:extLst>
                        <a:ext uri="{28A0092B-C50C-407E-A947-70E740481C1C}">
                          <a14:useLocalDpi xmlns:a14="http://schemas.microsoft.com/office/drawing/2010/main" val="0"/>
                        </a:ext>
                      </a:extLst>
                    </a:blip>
                    <a:srcRect t="3284" b="11041"/>
                    <a:stretch/>
                  </pic:blipFill>
                  <pic:spPr bwMode="auto">
                    <a:xfrm>
                      <a:off x="0" y="0"/>
                      <a:ext cx="2792334" cy="2540901"/>
                    </a:xfrm>
                    <a:prstGeom prst="rect">
                      <a:avLst/>
                    </a:prstGeom>
                    <a:ln w="19050">
                      <a:solidFill>
                        <a:schemeClr val="tx1"/>
                      </a:solidFill>
                    </a:ln>
                    <a:extLst>
                      <a:ext uri="{53640926-AAD7-44D8-BBD7-CCE9431645EC}">
                        <a14:shadowObscured xmlns:a14="http://schemas.microsoft.com/office/drawing/2010/main"/>
                      </a:ext>
                    </a:extLst>
                  </pic:spPr>
                </pic:pic>
              </a:graphicData>
            </a:graphic>
          </wp:inline>
        </w:drawing>
      </w:r>
      <w:r>
        <w:rPr>
          <w:caps/>
          <w:sz w:val="22"/>
        </w:rPr>
        <w:tab/>
      </w:r>
      <w:r>
        <w:rPr>
          <w:caps/>
          <w:noProof/>
          <w:sz w:val="22"/>
        </w:rPr>
        <w:drawing>
          <wp:inline distT="0" distB="0" distL="0" distR="0" wp14:anchorId="12282A28" wp14:editId="29E5ED6A">
            <wp:extent cx="3371850" cy="2528886"/>
            <wp:effectExtent l="19050" t="19050" r="19050" b="2413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UF Cogen1.jpg"/>
                    <pic:cNvPicPr/>
                  </pic:nvPicPr>
                  <pic:blipFill>
                    <a:blip r:embed="rId13">
                      <a:extLst>
                        <a:ext uri="{28A0092B-C50C-407E-A947-70E740481C1C}">
                          <a14:useLocalDpi xmlns:a14="http://schemas.microsoft.com/office/drawing/2010/main" val="0"/>
                        </a:ext>
                      </a:extLst>
                    </a:blip>
                    <a:stretch>
                      <a:fillRect/>
                    </a:stretch>
                  </pic:blipFill>
                  <pic:spPr>
                    <a:xfrm>
                      <a:off x="0" y="0"/>
                      <a:ext cx="3408587" cy="2556438"/>
                    </a:xfrm>
                    <a:prstGeom prst="rect">
                      <a:avLst/>
                    </a:prstGeom>
                    <a:ln w="19050">
                      <a:solidFill>
                        <a:schemeClr val="tx1"/>
                      </a:solidFill>
                    </a:ln>
                  </pic:spPr>
                </pic:pic>
              </a:graphicData>
            </a:graphic>
          </wp:inline>
        </w:drawing>
      </w:r>
    </w:p>
    <w:p w:rsidR="008F1519" w:rsidRPr="00CF7988" w:rsidRDefault="0087711E" w:rsidP="00CF7988">
      <w:pPr>
        <w:pStyle w:val="Caption"/>
        <w:tabs>
          <w:tab w:val="left" w:pos="5220"/>
        </w:tabs>
        <w:ind w:left="270"/>
        <w:rPr>
          <w:b/>
          <w:i w:val="0"/>
          <w:caps/>
          <w:color w:val="000000" w:themeColor="text1"/>
          <w:sz w:val="22"/>
          <w:szCs w:val="22"/>
        </w:rPr>
      </w:pPr>
      <w:bookmarkStart w:id="3" w:name="_Ref381613471"/>
      <w:r w:rsidRPr="0087711E">
        <w:rPr>
          <w:b/>
          <w:i w:val="0"/>
          <w:color w:val="000000" w:themeColor="text1"/>
          <w:sz w:val="22"/>
          <w:szCs w:val="22"/>
        </w:rPr>
        <w:t xml:space="preserve">Figure </w:t>
      </w:r>
      <w:r w:rsidRPr="0087711E">
        <w:rPr>
          <w:b/>
          <w:i w:val="0"/>
          <w:color w:val="000000" w:themeColor="text1"/>
          <w:sz w:val="22"/>
          <w:szCs w:val="22"/>
        </w:rPr>
        <w:fldChar w:fldCharType="begin"/>
      </w:r>
      <w:r w:rsidRPr="0087711E">
        <w:rPr>
          <w:b/>
          <w:i w:val="0"/>
          <w:color w:val="000000" w:themeColor="text1"/>
          <w:sz w:val="22"/>
          <w:szCs w:val="22"/>
        </w:rPr>
        <w:instrText xml:space="preserve"> SEQ Figure \* ARABIC </w:instrText>
      </w:r>
      <w:r w:rsidRPr="0087711E">
        <w:rPr>
          <w:b/>
          <w:i w:val="0"/>
          <w:color w:val="000000" w:themeColor="text1"/>
          <w:sz w:val="22"/>
          <w:szCs w:val="22"/>
        </w:rPr>
        <w:fldChar w:fldCharType="separate"/>
      </w:r>
      <w:r w:rsidR="00CF7988">
        <w:rPr>
          <w:b/>
          <w:i w:val="0"/>
          <w:noProof/>
          <w:color w:val="000000" w:themeColor="text1"/>
          <w:sz w:val="22"/>
          <w:szCs w:val="22"/>
        </w:rPr>
        <w:t>4</w:t>
      </w:r>
      <w:r w:rsidRPr="0087711E">
        <w:rPr>
          <w:b/>
          <w:i w:val="0"/>
          <w:color w:val="000000" w:themeColor="text1"/>
          <w:sz w:val="22"/>
          <w:szCs w:val="22"/>
        </w:rPr>
        <w:fldChar w:fldCharType="end"/>
      </w:r>
      <w:bookmarkEnd w:id="3"/>
      <w:r w:rsidR="00CF7988">
        <w:rPr>
          <w:b/>
          <w:i w:val="0"/>
          <w:color w:val="000000" w:themeColor="text1"/>
          <w:sz w:val="22"/>
          <w:szCs w:val="22"/>
        </w:rPr>
        <w:t xml:space="preserve"> – View 1 of the CT at the Plant.</w:t>
      </w:r>
      <w:r w:rsidR="00CF7988">
        <w:rPr>
          <w:b/>
          <w:i w:val="0"/>
          <w:color w:val="000000" w:themeColor="text1"/>
          <w:sz w:val="22"/>
          <w:szCs w:val="22"/>
        </w:rPr>
        <w:tab/>
      </w:r>
      <w:bookmarkStart w:id="4" w:name="_Ref381613480"/>
      <w:r w:rsidR="00CF7988" w:rsidRPr="00CF7988">
        <w:rPr>
          <w:b/>
          <w:i w:val="0"/>
          <w:color w:val="000000" w:themeColor="text1"/>
          <w:sz w:val="22"/>
          <w:szCs w:val="22"/>
        </w:rPr>
        <w:t xml:space="preserve">Figure </w:t>
      </w:r>
      <w:r w:rsidR="00CF7988" w:rsidRPr="00CF7988">
        <w:rPr>
          <w:b/>
          <w:i w:val="0"/>
          <w:color w:val="000000" w:themeColor="text1"/>
          <w:sz w:val="22"/>
          <w:szCs w:val="22"/>
        </w:rPr>
        <w:fldChar w:fldCharType="begin"/>
      </w:r>
      <w:r w:rsidR="00CF7988" w:rsidRPr="00CF7988">
        <w:rPr>
          <w:b/>
          <w:i w:val="0"/>
          <w:color w:val="000000" w:themeColor="text1"/>
          <w:sz w:val="22"/>
          <w:szCs w:val="22"/>
        </w:rPr>
        <w:instrText xml:space="preserve"> SEQ Figure \* ARABIC </w:instrText>
      </w:r>
      <w:r w:rsidR="00CF7988" w:rsidRPr="00CF7988">
        <w:rPr>
          <w:b/>
          <w:i w:val="0"/>
          <w:color w:val="000000" w:themeColor="text1"/>
          <w:sz w:val="22"/>
          <w:szCs w:val="22"/>
        </w:rPr>
        <w:fldChar w:fldCharType="separate"/>
      </w:r>
      <w:r w:rsidR="00CF7988" w:rsidRPr="00CF7988">
        <w:rPr>
          <w:b/>
          <w:i w:val="0"/>
          <w:noProof/>
          <w:color w:val="000000" w:themeColor="text1"/>
          <w:sz w:val="22"/>
          <w:szCs w:val="22"/>
        </w:rPr>
        <w:t>5</w:t>
      </w:r>
      <w:r w:rsidR="00CF7988" w:rsidRPr="00CF7988">
        <w:rPr>
          <w:b/>
          <w:i w:val="0"/>
          <w:color w:val="000000" w:themeColor="text1"/>
          <w:sz w:val="22"/>
          <w:szCs w:val="22"/>
        </w:rPr>
        <w:fldChar w:fldCharType="end"/>
      </w:r>
      <w:bookmarkEnd w:id="4"/>
      <w:r w:rsidR="00CF7988">
        <w:rPr>
          <w:b/>
          <w:i w:val="0"/>
          <w:color w:val="000000" w:themeColor="text1"/>
          <w:sz w:val="22"/>
          <w:szCs w:val="22"/>
        </w:rPr>
        <w:t xml:space="preserve"> - </w:t>
      </w:r>
      <w:r w:rsidR="00CF7988" w:rsidRPr="00CF7988">
        <w:rPr>
          <w:b/>
          <w:i w:val="0"/>
          <w:color w:val="000000" w:themeColor="text1"/>
          <w:sz w:val="22"/>
          <w:szCs w:val="22"/>
        </w:rPr>
        <w:t xml:space="preserve">View </w:t>
      </w:r>
      <w:r w:rsidR="00CF7988">
        <w:rPr>
          <w:b/>
          <w:i w:val="0"/>
          <w:color w:val="000000" w:themeColor="text1"/>
          <w:sz w:val="22"/>
          <w:szCs w:val="22"/>
        </w:rPr>
        <w:t>2</w:t>
      </w:r>
      <w:r w:rsidR="00CF7988" w:rsidRPr="00CF7988">
        <w:rPr>
          <w:b/>
          <w:i w:val="0"/>
          <w:color w:val="000000" w:themeColor="text1"/>
          <w:sz w:val="22"/>
          <w:szCs w:val="22"/>
        </w:rPr>
        <w:t xml:space="preserve"> of the CT at the Plant.</w:t>
      </w:r>
    </w:p>
    <w:p w:rsidR="00273333" w:rsidRPr="00273333" w:rsidRDefault="00747DCC" w:rsidP="00273333">
      <w:pPr>
        <w:spacing w:after="120"/>
        <w:rPr>
          <w:sz w:val="22"/>
          <w:szCs w:val="22"/>
        </w:rPr>
      </w:pPr>
      <w:r w:rsidRPr="00747DCC">
        <w:rPr>
          <w:sz w:val="22"/>
          <w:szCs w:val="22"/>
        </w:rPr>
        <w:t>The UF CoGen Plant consists of one nominal 48 megawatt General Electric LM6000-PC-ESPRINT Combustion Turbine</w:t>
      </w:r>
      <w:r>
        <w:rPr>
          <w:sz w:val="22"/>
          <w:szCs w:val="22"/>
        </w:rPr>
        <w:t xml:space="preserve"> (CT)</w:t>
      </w:r>
      <w:r w:rsidRPr="00747DCC">
        <w:rPr>
          <w:sz w:val="22"/>
          <w:szCs w:val="22"/>
        </w:rPr>
        <w:t xml:space="preserve"> with one Heat Recovery Steam Generator</w:t>
      </w:r>
      <w:r w:rsidR="00795DF3">
        <w:rPr>
          <w:sz w:val="22"/>
          <w:szCs w:val="22"/>
        </w:rPr>
        <w:t xml:space="preserve"> (HRSG)</w:t>
      </w:r>
      <w:bookmarkStart w:id="5" w:name="_GoBack"/>
      <w:bookmarkEnd w:id="5"/>
      <w:r w:rsidRPr="00747DCC">
        <w:rPr>
          <w:sz w:val="22"/>
          <w:szCs w:val="22"/>
        </w:rPr>
        <w:t xml:space="preserve"> and Duct Burner</w:t>
      </w:r>
      <w:r>
        <w:rPr>
          <w:sz w:val="22"/>
          <w:szCs w:val="22"/>
        </w:rPr>
        <w:t xml:space="preserve"> (DB)</w:t>
      </w:r>
      <w:r w:rsidRPr="00747DCC">
        <w:rPr>
          <w:sz w:val="22"/>
          <w:szCs w:val="22"/>
        </w:rPr>
        <w:t xml:space="preserve"> system comprising a combined cycle unit.  In addition</w:t>
      </w:r>
      <w:r w:rsidR="00795DF3">
        <w:rPr>
          <w:sz w:val="22"/>
          <w:szCs w:val="22"/>
        </w:rPr>
        <w:t>,</w:t>
      </w:r>
      <w:r w:rsidRPr="00747DCC">
        <w:rPr>
          <w:sz w:val="22"/>
          <w:szCs w:val="22"/>
        </w:rPr>
        <w:t xml:space="preserve"> there are two Backup Steam Boilers.</w:t>
      </w:r>
      <w:r w:rsidR="00273333" w:rsidRPr="00273333">
        <w:rPr>
          <w:sz w:val="22"/>
          <w:szCs w:val="22"/>
        </w:rPr>
        <w:t xml:space="preserve"> </w:t>
      </w:r>
      <w:r w:rsidR="00273333" w:rsidRPr="00273333">
        <w:rPr>
          <w:color w:val="000000"/>
          <w:sz w:val="22"/>
          <w:szCs w:val="22"/>
        </w:rPr>
        <w:t xml:space="preserve">The CT utilizes spray intercooling to maximize throughput, thus reducing supplemental firing </w:t>
      </w:r>
      <w:r w:rsidR="00C80219">
        <w:rPr>
          <w:color w:val="000000"/>
          <w:sz w:val="22"/>
          <w:szCs w:val="22"/>
        </w:rPr>
        <w:t>of</w:t>
      </w:r>
      <w:r w:rsidR="00273333" w:rsidRPr="00273333">
        <w:rPr>
          <w:color w:val="000000"/>
          <w:sz w:val="22"/>
          <w:szCs w:val="22"/>
        </w:rPr>
        <w:t xml:space="preserve"> the </w:t>
      </w:r>
      <w:r>
        <w:rPr>
          <w:color w:val="000000"/>
          <w:sz w:val="22"/>
          <w:szCs w:val="22"/>
        </w:rPr>
        <w:t>DB</w:t>
      </w:r>
      <w:r w:rsidR="00273333" w:rsidRPr="00273333">
        <w:rPr>
          <w:color w:val="000000"/>
          <w:sz w:val="22"/>
          <w:szCs w:val="22"/>
        </w:rPr>
        <w:t xml:space="preserve"> </w:t>
      </w:r>
      <w:r>
        <w:rPr>
          <w:color w:val="000000"/>
          <w:sz w:val="22"/>
          <w:szCs w:val="22"/>
        </w:rPr>
        <w:t xml:space="preserve">system </w:t>
      </w:r>
      <w:r w:rsidR="00273333" w:rsidRPr="00273333">
        <w:rPr>
          <w:color w:val="000000"/>
          <w:sz w:val="22"/>
          <w:szCs w:val="22"/>
        </w:rPr>
        <w:t xml:space="preserve">for meeting steam and power requirements.  </w:t>
      </w:r>
      <w:r w:rsidR="00273333" w:rsidRPr="00273333">
        <w:rPr>
          <w:sz w:val="22"/>
          <w:szCs w:val="22"/>
        </w:rPr>
        <w:t xml:space="preserve">Emissions from the CT and DB </w:t>
      </w:r>
      <w:r w:rsidR="00795DF3">
        <w:rPr>
          <w:sz w:val="22"/>
          <w:szCs w:val="22"/>
        </w:rPr>
        <w:t xml:space="preserve">system </w:t>
      </w:r>
      <w:r w:rsidR="00273333" w:rsidRPr="00273333">
        <w:rPr>
          <w:sz w:val="22"/>
          <w:szCs w:val="22"/>
        </w:rPr>
        <w:t xml:space="preserve">are vented through </w:t>
      </w:r>
      <w:r w:rsidR="00795DF3">
        <w:rPr>
          <w:sz w:val="22"/>
          <w:szCs w:val="22"/>
        </w:rPr>
        <w:t xml:space="preserve">the </w:t>
      </w:r>
      <w:r w:rsidR="00795DF3">
        <w:rPr>
          <w:sz w:val="22"/>
          <w:szCs w:val="22"/>
        </w:rPr>
        <w:t>HRSG</w:t>
      </w:r>
      <w:r w:rsidR="00273333" w:rsidRPr="00273333">
        <w:rPr>
          <w:sz w:val="22"/>
          <w:szCs w:val="22"/>
        </w:rPr>
        <w:t xml:space="preserve"> stack.  NO</w:t>
      </w:r>
      <w:r w:rsidR="00273333" w:rsidRPr="00273333">
        <w:rPr>
          <w:sz w:val="22"/>
          <w:szCs w:val="22"/>
          <w:vertAlign w:val="subscript"/>
        </w:rPr>
        <w:t>X</w:t>
      </w:r>
      <w:r w:rsidR="00273333" w:rsidRPr="00273333">
        <w:rPr>
          <w:sz w:val="22"/>
          <w:szCs w:val="22"/>
        </w:rPr>
        <w:t xml:space="preserve"> emissions are controlled with steam injection.  Compliance is demonstrated with a NO</w:t>
      </w:r>
      <w:r w:rsidR="00273333" w:rsidRPr="00273333">
        <w:rPr>
          <w:sz w:val="22"/>
          <w:szCs w:val="22"/>
          <w:vertAlign w:val="subscript"/>
        </w:rPr>
        <w:t>X</w:t>
      </w:r>
      <w:r w:rsidR="00273333" w:rsidRPr="00273333">
        <w:rPr>
          <w:sz w:val="22"/>
          <w:szCs w:val="22"/>
        </w:rPr>
        <w:t xml:space="preserve"> CEMS.  The steam boilers, each having a separate exhaust stack, are used as back-up sources</w:t>
      </w:r>
      <w:r w:rsidR="00FB7384" w:rsidRPr="00FB7384">
        <w:t xml:space="preserve"> </w:t>
      </w:r>
      <w:r>
        <w:t xml:space="preserve">of steam </w:t>
      </w:r>
      <w:r w:rsidR="00FB7384" w:rsidRPr="00FB7384">
        <w:rPr>
          <w:sz w:val="22"/>
          <w:szCs w:val="22"/>
        </w:rPr>
        <w:t xml:space="preserve">and </w:t>
      </w:r>
      <w:r w:rsidR="00FB7384">
        <w:rPr>
          <w:sz w:val="22"/>
          <w:szCs w:val="22"/>
        </w:rPr>
        <w:t xml:space="preserve">to provide </w:t>
      </w:r>
      <w:r w:rsidR="00FB7384" w:rsidRPr="00FB7384">
        <w:rPr>
          <w:sz w:val="22"/>
          <w:szCs w:val="22"/>
        </w:rPr>
        <w:t xml:space="preserve">supplemental steam during periods of high steam demand. </w:t>
      </w:r>
      <w:r w:rsidR="00273333" w:rsidRPr="00273333">
        <w:rPr>
          <w:sz w:val="22"/>
          <w:szCs w:val="22"/>
        </w:rPr>
        <w:t xml:space="preserve"> </w:t>
      </w:r>
    </w:p>
    <w:p w:rsidR="00642931" w:rsidRDefault="00642931" w:rsidP="00642931">
      <w:pPr>
        <w:pStyle w:val="BodyText3"/>
        <w:widowControl w:val="0"/>
        <w:numPr>
          <w:ilvl w:val="12"/>
          <w:numId w:val="0"/>
        </w:numPr>
        <w:spacing w:before="0" w:after="60"/>
        <w:rPr>
          <w:szCs w:val="22"/>
        </w:rPr>
      </w:pPr>
      <w:r>
        <w:rPr>
          <w:szCs w:val="22"/>
        </w:rPr>
        <w:t xml:space="preserve">A summary of the </w:t>
      </w:r>
      <w:r w:rsidRPr="00C3192A">
        <w:rPr>
          <w:szCs w:val="22"/>
          <w:u w:val="single"/>
        </w:rPr>
        <w:t>regulated</w:t>
      </w:r>
      <w:r>
        <w:rPr>
          <w:szCs w:val="22"/>
        </w:rPr>
        <w:t xml:space="preserve"> existing emission units at the UF CoGen Plant is given in below.  The emission unit affected by this permitting action is highlighted in </w:t>
      </w:r>
      <w:r w:rsidRPr="00C3192A">
        <w:rPr>
          <w:szCs w:val="22"/>
          <w:shd w:val="clear" w:color="auto" w:fill="00FFFF"/>
        </w:rPr>
        <w:t>turquoise</w:t>
      </w:r>
      <w:r>
        <w:rPr>
          <w:szCs w:val="22"/>
        </w:rPr>
        <w:t xml:space="preserve"> in the table.</w:t>
      </w:r>
    </w:p>
    <w:p w:rsidR="009F4401" w:rsidRPr="0011612D" w:rsidRDefault="0011612D" w:rsidP="0011612D">
      <w:pPr>
        <w:pStyle w:val="Caption"/>
        <w:spacing w:after="120"/>
        <w:jc w:val="center"/>
        <w:rPr>
          <w:rFonts w:ascii="Times New Roman Bold" w:hAnsi="Times New Roman Bold"/>
          <w:b/>
          <w:i w:val="0"/>
          <w:caps/>
          <w:color w:val="000000" w:themeColor="text1"/>
          <w:sz w:val="22"/>
          <w:szCs w:val="22"/>
        </w:rPr>
      </w:pPr>
      <w:r w:rsidRPr="0011612D">
        <w:rPr>
          <w:rFonts w:ascii="Times New Roman Bold" w:hAnsi="Times New Roman Bold"/>
          <w:b/>
          <w:i w:val="0"/>
          <w:caps/>
          <w:color w:val="000000" w:themeColor="text1"/>
          <w:sz w:val="22"/>
          <w:szCs w:val="22"/>
        </w:rPr>
        <w:t xml:space="preserve">Table </w:t>
      </w:r>
      <w:r w:rsidRPr="0011612D">
        <w:rPr>
          <w:rFonts w:ascii="Times New Roman Bold" w:hAnsi="Times New Roman Bold"/>
          <w:b/>
          <w:i w:val="0"/>
          <w:caps/>
          <w:color w:val="000000" w:themeColor="text1"/>
          <w:sz w:val="22"/>
          <w:szCs w:val="22"/>
        </w:rPr>
        <w:fldChar w:fldCharType="begin"/>
      </w:r>
      <w:r w:rsidRPr="0011612D">
        <w:rPr>
          <w:rFonts w:ascii="Times New Roman Bold" w:hAnsi="Times New Roman Bold"/>
          <w:b/>
          <w:i w:val="0"/>
          <w:caps/>
          <w:color w:val="000000" w:themeColor="text1"/>
          <w:sz w:val="22"/>
          <w:szCs w:val="22"/>
        </w:rPr>
        <w:instrText xml:space="preserve"> SEQ Table \* ARABIC </w:instrText>
      </w:r>
      <w:r w:rsidRPr="0011612D">
        <w:rPr>
          <w:rFonts w:ascii="Times New Roman Bold" w:hAnsi="Times New Roman Bold"/>
          <w:b/>
          <w:i w:val="0"/>
          <w:caps/>
          <w:color w:val="000000" w:themeColor="text1"/>
          <w:sz w:val="22"/>
          <w:szCs w:val="22"/>
        </w:rPr>
        <w:fldChar w:fldCharType="separate"/>
      </w:r>
      <w:r w:rsidR="008A57F6">
        <w:rPr>
          <w:rFonts w:ascii="Times New Roman Bold" w:hAnsi="Times New Roman Bold"/>
          <w:b/>
          <w:i w:val="0"/>
          <w:caps/>
          <w:noProof/>
          <w:color w:val="000000" w:themeColor="text1"/>
          <w:sz w:val="22"/>
          <w:szCs w:val="22"/>
        </w:rPr>
        <w:t>1</w:t>
      </w:r>
      <w:r w:rsidRPr="0011612D">
        <w:rPr>
          <w:rFonts w:ascii="Times New Roman Bold" w:hAnsi="Times New Roman Bold"/>
          <w:b/>
          <w:i w:val="0"/>
          <w:caps/>
          <w:color w:val="000000" w:themeColor="text1"/>
          <w:sz w:val="22"/>
          <w:szCs w:val="22"/>
        </w:rPr>
        <w:fldChar w:fldCharType="end"/>
      </w:r>
      <w:r w:rsidRPr="0011612D">
        <w:rPr>
          <w:rFonts w:ascii="Times New Roman Bold" w:hAnsi="Times New Roman Bold"/>
          <w:b/>
          <w:i w:val="0"/>
          <w:caps/>
          <w:color w:val="000000" w:themeColor="text1"/>
          <w:sz w:val="22"/>
          <w:szCs w:val="22"/>
        </w:rPr>
        <w:t>.  Emission Units at the UF CoGen Plant.</w:t>
      </w:r>
    </w:p>
    <w:tbl>
      <w:tblPr>
        <w:tblW w:w="9954" w:type="dxa"/>
        <w:tblInd w:w="108" w:type="dxa"/>
        <w:tblBorders>
          <w:top w:val="single" w:sz="12" w:space="0" w:color="auto"/>
          <w:left w:val="single" w:sz="12" w:space="0" w:color="auto"/>
          <w:bottom w:val="single" w:sz="12" w:space="0" w:color="auto"/>
          <w:right w:val="single" w:sz="12" w:space="0" w:color="auto"/>
          <w:insideH w:val="single" w:sz="6" w:space="0" w:color="auto"/>
          <w:insideV w:val="single" w:sz="12" w:space="0" w:color="auto"/>
        </w:tblBorders>
        <w:tblLayout w:type="fixed"/>
        <w:tblCellMar>
          <w:top w:w="43" w:type="dxa"/>
          <w:left w:w="72" w:type="dxa"/>
          <w:bottom w:w="43" w:type="dxa"/>
          <w:right w:w="72" w:type="dxa"/>
        </w:tblCellMar>
        <w:tblLook w:val="0000" w:firstRow="0" w:lastRow="0" w:firstColumn="0" w:lastColumn="0" w:noHBand="0" w:noVBand="0"/>
      </w:tblPr>
      <w:tblGrid>
        <w:gridCol w:w="1016"/>
        <w:gridCol w:w="8938"/>
      </w:tblGrid>
      <w:tr w:rsidR="00642931" w:rsidRPr="00642931" w:rsidTr="00EA49ED">
        <w:tc>
          <w:tcPr>
            <w:tcW w:w="1016" w:type="dxa"/>
            <w:tcBorders>
              <w:top w:val="single" w:sz="12" w:space="0" w:color="auto"/>
              <w:bottom w:val="single" w:sz="12" w:space="0" w:color="auto"/>
            </w:tcBorders>
            <w:shd w:val="clear" w:color="auto" w:fill="BDD6EE" w:themeFill="accent1" w:themeFillTint="66"/>
          </w:tcPr>
          <w:p w:rsidR="00642931" w:rsidRPr="00642931" w:rsidRDefault="00642931" w:rsidP="00642931">
            <w:pPr>
              <w:jc w:val="center"/>
              <w:rPr>
                <w:b/>
                <w:sz w:val="22"/>
                <w:szCs w:val="22"/>
              </w:rPr>
            </w:pPr>
            <w:r w:rsidRPr="00642931">
              <w:rPr>
                <w:b/>
                <w:sz w:val="22"/>
                <w:szCs w:val="22"/>
              </w:rPr>
              <w:t>EU No.</w:t>
            </w:r>
          </w:p>
        </w:tc>
        <w:tc>
          <w:tcPr>
            <w:tcW w:w="8938" w:type="dxa"/>
            <w:tcBorders>
              <w:top w:val="single" w:sz="12" w:space="0" w:color="auto"/>
              <w:bottom w:val="single" w:sz="12" w:space="0" w:color="auto"/>
            </w:tcBorders>
            <w:shd w:val="clear" w:color="auto" w:fill="BDD6EE" w:themeFill="accent1" w:themeFillTint="66"/>
          </w:tcPr>
          <w:p w:rsidR="00642931" w:rsidRPr="00642931" w:rsidRDefault="00642931" w:rsidP="00642931">
            <w:pPr>
              <w:keepNext/>
              <w:outlineLvl w:val="1"/>
              <w:rPr>
                <w:b/>
                <w:sz w:val="22"/>
                <w:szCs w:val="22"/>
              </w:rPr>
            </w:pPr>
            <w:r w:rsidRPr="00642931">
              <w:rPr>
                <w:b/>
                <w:sz w:val="22"/>
                <w:szCs w:val="22"/>
              </w:rPr>
              <w:t>Brief Description</w:t>
            </w:r>
          </w:p>
        </w:tc>
      </w:tr>
      <w:tr w:rsidR="00642931" w:rsidRPr="00642931" w:rsidTr="0011612D">
        <w:tc>
          <w:tcPr>
            <w:tcW w:w="1016" w:type="dxa"/>
            <w:shd w:val="clear" w:color="auto" w:fill="00FFFF"/>
          </w:tcPr>
          <w:p w:rsidR="00642931" w:rsidRPr="00642931" w:rsidRDefault="00642931" w:rsidP="00642931">
            <w:pPr>
              <w:jc w:val="center"/>
              <w:rPr>
                <w:sz w:val="22"/>
                <w:szCs w:val="22"/>
              </w:rPr>
            </w:pPr>
            <w:r w:rsidRPr="00642931">
              <w:rPr>
                <w:sz w:val="22"/>
                <w:szCs w:val="22"/>
              </w:rPr>
              <w:t>002</w:t>
            </w:r>
          </w:p>
        </w:tc>
        <w:tc>
          <w:tcPr>
            <w:tcW w:w="8938" w:type="dxa"/>
            <w:shd w:val="clear" w:color="auto" w:fill="00FFFF"/>
          </w:tcPr>
          <w:p w:rsidR="00642931" w:rsidRPr="00642931" w:rsidRDefault="00642931" w:rsidP="00642931">
            <w:pPr>
              <w:rPr>
                <w:sz w:val="22"/>
                <w:szCs w:val="22"/>
              </w:rPr>
            </w:pPr>
            <w:r w:rsidRPr="00642931">
              <w:rPr>
                <w:sz w:val="22"/>
                <w:szCs w:val="22"/>
              </w:rPr>
              <w:t xml:space="preserve">No. 4 </w:t>
            </w:r>
            <w:r w:rsidR="00792659">
              <w:rPr>
                <w:sz w:val="22"/>
                <w:szCs w:val="22"/>
              </w:rPr>
              <w:t xml:space="preserve">Backup </w:t>
            </w:r>
            <w:r w:rsidRPr="00642931">
              <w:rPr>
                <w:sz w:val="22"/>
                <w:szCs w:val="22"/>
              </w:rPr>
              <w:t>Steam Boiler</w:t>
            </w:r>
          </w:p>
        </w:tc>
      </w:tr>
      <w:tr w:rsidR="00642931" w:rsidRPr="00642931" w:rsidTr="00642931">
        <w:tc>
          <w:tcPr>
            <w:tcW w:w="1016" w:type="dxa"/>
            <w:tcBorders>
              <w:bottom w:val="single" w:sz="6" w:space="0" w:color="auto"/>
            </w:tcBorders>
          </w:tcPr>
          <w:p w:rsidR="00642931" w:rsidRPr="00642931" w:rsidRDefault="00642931" w:rsidP="00642931">
            <w:pPr>
              <w:jc w:val="center"/>
              <w:rPr>
                <w:sz w:val="22"/>
                <w:szCs w:val="22"/>
              </w:rPr>
            </w:pPr>
            <w:r w:rsidRPr="00642931">
              <w:rPr>
                <w:sz w:val="22"/>
                <w:szCs w:val="22"/>
              </w:rPr>
              <w:t>003</w:t>
            </w:r>
          </w:p>
        </w:tc>
        <w:tc>
          <w:tcPr>
            <w:tcW w:w="8938" w:type="dxa"/>
            <w:tcBorders>
              <w:bottom w:val="single" w:sz="6" w:space="0" w:color="auto"/>
            </w:tcBorders>
          </w:tcPr>
          <w:p w:rsidR="00642931" w:rsidRPr="00642931" w:rsidRDefault="00642931" w:rsidP="00642931">
            <w:pPr>
              <w:rPr>
                <w:sz w:val="22"/>
                <w:szCs w:val="22"/>
              </w:rPr>
            </w:pPr>
            <w:r w:rsidRPr="00642931">
              <w:rPr>
                <w:sz w:val="22"/>
                <w:szCs w:val="22"/>
              </w:rPr>
              <w:t xml:space="preserve">No. 5 </w:t>
            </w:r>
            <w:r w:rsidR="00792659">
              <w:rPr>
                <w:sz w:val="22"/>
                <w:szCs w:val="22"/>
              </w:rPr>
              <w:t xml:space="preserve">Backup </w:t>
            </w:r>
            <w:r w:rsidRPr="00642931">
              <w:rPr>
                <w:sz w:val="22"/>
                <w:szCs w:val="22"/>
              </w:rPr>
              <w:t>Steam Boiler</w:t>
            </w:r>
          </w:p>
        </w:tc>
      </w:tr>
      <w:tr w:rsidR="00642931" w:rsidRPr="00642931" w:rsidTr="00642931">
        <w:tc>
          <w:tcPr>
            <w:tcW w:w="1016" w:type="dxa"/>
            <w:tcBorders>
              <w:top w:val="single" w:sz="6" w:space="0" w:color="auto"/>
              <w:bottom w:val="single" w:sz="8" w:space="0" w:color="auto"/>
            </w:tcBorders>
          </w:tcPr>
          <w:p w:rsidR="00642931" w:rsidRPr="00642931" w:rsidRDefault="00642931" w:rsidP="00642931">
            <w:pPr>
              <w:jc w:val="center"/>
              <w:rPr>
                <w:sz w:val="22"/>
                <w:szCs w:val="22"/>
              </w:rPr>
            </w:pPr>
            <w:r w:rsidRPr="00642931">
              <w:rPr>
                <w:sz w:val="22"/>
                <w:szCs w:val="22"/>
              </w:rPr>
              <w:t>005</w:t>
            </w:r>
          </w:p>
        </w:tc>
        <w:tc>
          <w:tcPr>
            <w:tcW w:w="8938" w:type="dxa"/>
            <w:tcBorders>
              <w:top w:val="single" w:sz="6" w:space="0" w:color="auto"/>
              <w:bottom w:val="single" w:sz="8" w:space="0" w:color="auto"/>
            </w:tcBorders>
          </w:tcPr>
          <w:p w:rsidR="00642931" w:rsidRPr="00642931" w:rsidRDefault="00642931" w:rsidP="00642931">
            <w:pPr>
              <w:rPr>
                <w:sz w:val="22"/>
                <w:szCs w:val="22"/>
              </w:rPr>
            </w:pPr>
            <w:r w:rsidRPr="00642931">
              <w:rPr>
                <w:sz w:val="22"/>
                <w:szCs w:val="22"/>
              </w:rPr>
              <w:t>Duct Burner System with HRSG</w:t>
            </w:r>
          </w:p>
        </w:tc>
      </w:tr>
      <w:tr w:rsidR="00642931" w:rsidRPr="00642931" w:rsidTr="00642931">
        <w:tc>
          <w:tcPr>
            <w:tcW w:w="1016" w:type="dxa"/>
            <w:tcBorders>
              <w:top w:val="single" w:sz="8" w:space="0" w:color="auto"/>
              <w:bottom w:val="single" w:sz="12" w:space="0" w:color="auto"/>
            </w:tcBorders>
          </w:tcPr>
          <w:p w:rsidR="00642931" w:rsidRPr="00642931" w:rsidRDefault="00642931" w:rsidP="00642931">
            <w:pPr>
              <w:jc w:val="center"/>
              <w:rPr>
                <w:sz w:val="22"/>
                <w:szCs w:val="22"/>
              </w:rPr>
            </w:pPr>
            <w:r w:rsidRPr="00642931">
              <w:rPr>
                <w:sz w:val="22"/>
                <w:szCs w:val="22"/>
              </w:rPr>
              <w:t>007</w:t>
            </w:r>
          </w:p>
        </w:tc>
        <w:tc>
          <w:tcPr>
            <w:tcW w:w="8938" w:type="dxa"/>
            <w:tcBorders>
              <w:top w:val="single" w:sz="8" w:space="0" w:color="auto"/>
              <w:bottom w:val="single" w:sz="12" w:space="0" w:color="auto"/>
            </w:tcBorders>
          </w:tcPr>
          <w:p w:rsidR="00642931" w:rsidRPr="00642931" w:rsidRDefault="00642931" w:rsidP="00642931">
            <w:pPr>
              <w:rPr>
                <w:sz w:val="22"/>
                <w:szCs w:val="22"/>
              </w:rPr>
            </w:pPr>
            <w:r w:rsidRPr="00642931">
              <w:rPr>
                <w:sz w:val="22"/>
                <w:szCs w:val="22"/>
              </w:rPr>
              <w:t>Combustion Turbine</w:t>
            </w:r>
          </w:p>
        </w:tc>
      </w:tr>
    </w:tbl>
    <w:p w:rsidR="00EE6112" w:rsidRPr="007A7739" w:rsidRDefault="007A7739" w:rsidP="00AA49BE">
      <w:pPr>
        <w:pStyle w:val="ListParagraph"/>
        <w:numPr>
          <w:ilvl w:val="1"/>
          <w:numId w:val="15"/>
        </w:numPr>
        <w:spacing w:before="120" w:after="120"/>
        <w:ind w:left="720" w:hanging="720"/>
        <w:contextualSpacing w:val="0"/>
        <w:rPr>
          <w:rFonts w:ascii="Times New Roman Bold" w:hAnsi="Times New Roman Bold"/>
          <w:b/>
          <w:sz w:val="22"/>
          <w:szCs w:val="22"/>
        </w:rPr>
      </w:pPr>
      <w:r w:rsidRPr="007A7739">
        <w:rPr>
          <w:b/>
          <w:bCs/>
          <w:sz w:val="22"/>
          <w:szCs w:val="22"/>
        </w:rPr>
        <w:t>Primary Regulatory Categories</w:t>
      </w:r>
    </w:p>
    <w:p w:rsidR="007A7739" w:rsidRPr="007A7739" w:rsidRDefault="007A7739" w:rsidP="007A7739">
      <w:pPr>
        <w:pStyle w:val="ListParagraph"/>
        <w:numPr>
          <w:ilvl w:val="2"/>
          <w:numId w:val="15"/>
        </w:numPr>
        <w:spacing w:after="120"/>
        <w:ind w:left="720" w:hanging="720"/>
        <w:contextualSpacing w:val="0"/>
        <w:rPr>
          <w:rFonts w:ascii="Times New Roman Bold" w:hAnsi="Times New Roman Bold"/>
          <w:b/>
          <w:sz w:val="22"/>
          <w:szCs w:val="22"/>
        </w:rPr>
      </w:pPr>
      <w:r w:rsidRPr="0015095D">
        <w:rPr>
          <w:bCs/>
          <w:sz w:val="22"/>
          <w:szCs w:val="22"/>
          <w:u w:val="single"/>
        </w:rPr>
        <w:t>Federal Regulations</w:t>
      </w:r>
    </w:p>
    <w:p w:rsidR="007A7739" w:rsidRPr="00E761E2" w:rsidRDefault="007A7739" w:rsidP="007A7739">
      <w:pPr>
        <w:widowControl w:val="0"/>
        <w:spacing w:after="120"/>
        <w:rPr>
          <w:bCs/>
          <w:sz w:val="22"/>
          <w:szCs w:val="22"/>
        </w:rPr>
      </w:pPr>
      <w:r w:rsidRPr="00E761E2">
        <w:rPr>
          <w:bCs/>
          <w:sz w:val="22"/>
          <w:szCs w:val="22"/>
        </w:rPr>
        <w:t>The U.S. Environmental Protection Agency (EPA) establishes air quality regulations in Title 40, Code of Federal Regulations, Part 60 (40 CFR 60) that identifies New Source Performance Standards (NSPS) for a variety of industrial activities.  40 CFR 61 specifies National Emission Standards for Hazardous Air Pollutants (NESHAP).  40 CFR 63 specifies</w:t>
      </w:r>
      <w:r>
        <w:rPr>
          <w:bCs/>
          <w:sz w:val="22"/>
          <w:szCs w:val="22"/>
        </w:rPr>
        <w:t xml:space="preserve"> </w:t>
      </w:r>
      <w:r w:rsidRPr="00E761E2">
        <w:rPr>
          <w:bCs/>
          <w:sz w:val="22"/>
          <w:szCs w:val="22"/>
        </w:rPr>
        <w:t xml:space="preserve">NESHAP provisions based on the Maximum Achievable Control Technology (MACT) for given source categories. </w:t>
      </w:r>
    </w:p>
    <w:p w:rsidR="007A7739" w:rsidRPr="00E761E2" w:rsidRDefault="007A7739" w:rsidP="00A407A9">
      <w:pPr>
        <w:widowControl w:val="0"/>
        <w:spacing w:after="60"/>
        <w:rPr>
          <w:bCs/>
          <w:sz w:val="22"/>
          <w:szCs w:val="22"/>
        </w:rPr>
      </w:pPr>
      <w:r w:rsidRPr="00E761E2">
        <w:rPr>
          <w:bCs/>
          <w:sz w:val="22"/>
          <w:szCs w:val="22"/>
        </w:rPr>
        <w:t>Federal regulations adopted by reference are given in Rule 62-204.800, F.A.C.  State regulations approved by EPA are given in 40 CFR 52, Subpart K – Florida; also known as the State Implementation Plan (SIP) for Florida.</w:t>
      </w:r>
      <w:r>
        <w:rPr>
          <w:bCs/>
          <w:sz w:val="22"/>
          <w:szCs w:val="22"/>
        </w:rPr>
        <w:t xml:space="preserve">  </w:t>
      </w:r>
      <w:r>
        <w:rPr>
          <w:bCs/>
          <w:sz w:val="22"/>
          <w:szCs w:val="22"/>
        </w:rPr>
        <w:lastRenderedPageBreak/>
        <w:t>The following federal regulations apply to the UF CoGen Plant and this project.</w:t>
      </w:r>
    </w:p>
    <w:p w:rsidR="007A7739" w:rsidRDefault="007A7739" w:rsidP="00A407A9">
      <w:pPr>
        <w:numPr>
          <w:ilvl w:val="0"/>
          <w:numId w:val="3"/>
        </w:numPr>
        <w:spacing w:after="60"/>
        <w:rPr>
          <w:sz w:val="22"/>
          <w:szCs w:val="22"/>
        </w:rPr>
      </w:pPr>
      <w:r w:rsidRPr="00877418">
        <w:rPr>
          <w:sz w:val="22"/>
          <w:szCs w:val="22"/>
        </w:rPr>
        <w:t xml:space="preserve">The </w:t>
      </w:r>
      <w:r w:rsidRPr="005F19F5">
        <w:rPr>
          <w:sz w:val="22"/>
          <w:szCs w:val="22"/>
        </w:rPr>
        <w:t xml:space="preserve">facility </w:t>
      </w:r>
      <w:r w:rsidRPr="007A7739">
        <w:rPr>
          <w:b/>
          <w:sz w:val="22"/>
          <w:szCs w:val="22"/>
          <w:u w:val="single"/>
        </w:rPr>
        <w:t>is not</w:t>
      </w:r>
      <w:r w:rsidRPr="005F19F5">
        <w:rPr>
          <w:sz w:val="22"/>
          <w:szCs w:val="22"/>
        </w:rPr>
        <w:t xml:space="preserve"> a major</w:t>
      </w:r>
      <w:r w:rsidRPr="00877418">
        <w:rPr>
          <w:sz w:val="22"/>
          <w:szCs w:val="22"/>
        </w:rPr>
        <w:t xml:space="preserve"> source of hazardous air pollutants (HAP).</w:t>
      </w:r>
    </w:p>
    <w:p w:rsidR="007A7739" w:rsidRDefault="007A7739" w:rsidP="00A407A9">
      <w:pPr>
        <w:pStyle w:val="BodyText"/>
        <w:numPr>
          <w:ilvl w:val="0"/>
          <w:numId w:val="3"/>
        </w:numPr>
        <w:spacing w:after="60"/>
        <w:rPr>
          <w:sz w:val="22"/>
          <w:szCs w:val="22"/>
        </w:rPr>
      </w:pPr>
      <w:r w:rsidRPr="00877418">
        <w:rPr>
          <w:sz w:val="22"/>
          <w:szCs w:val="22"/>
        </w:rPr>
        <w:t xml:space="preserve">The </w:t>
      </w:r>
      <w:r>
        <w:rPr>
          <w:sz w:val="22"/>
          <w:szCs w:val="22"/>
        </w:rPr>
        <w:t>facility has</w:t>
      </w:r>
      <w:r w:rsidRPr="005F19F5">
        <w:rPr>
          <w:sz w:val="22"/>
          <w:szCs w:val="22"/>
        </w:rPr>
        <w:t xml:space="preserve"> units</w:t>
      </w:r>
      <w:r w:rsidRPr="00877418">
        <w:rPr>
          <w:sz w:val="22"/>
          <w:szCs w:val="22"/>
        </w:rPr>
        <w:t xml:space="preserve"> subject to the acid rain provisions of the Clean Air Act.</w:t>
      </w:r>
    </w:p>
    <w:p w:rsidR="007A7739" w:rsidRDefault="007A7739" w:rsidP="00A407A9">
      <w:pPr>
        <w:numPr>
          <w:ilvl w:val="0"/>
          <w:numId w:val="3"/>
        </w:numPr>
        <w:spacing w:after="60"/>
        <w:rPr>
          <w:sz w:val="22"/>
          <w:szCs w:val="22"/>
        </w:rPr>
      </w:pPr>
      <w:r w:rsidRPr="00877418">
        <w:rPr>
          <w:sz w:val="22"/>
          <w:szCs w:val="22"/>
        </w:rPr>
        <w:t xml:space="preserve">The </w:t>
      </w:r>
      <w:r w:rsidRPr="005F19F5">
        <w:rPr>
          <w:sz w:val="22"/>
          <w:szCs w:val="22"/>
        </w:rPr>
        <w:t>facility is a</w:t>
      </w:r>
      <w:r w:rsidRPr="00877418">
        <w:rPr>
          <w:sz w:val="22"/>
          <w:szCs w:val="22"/>
        </w:rPr>
        <w:t xml:space="preserve"> Title V major source of air pollution in accordance with Chapter </w:t>
      </w:r>
      <w:r>
        <w:rPr>
          <w:sz w:val="22"/>
          <w:szCs w:val="22"/>
        </w:rPr>
        <w:t>62-</w:t>
      </w:r>
      <w:r w:rsidRPr="00877418">
        <w:rPr>
          <w:sz w:val="22"/>
          <w:szCs w:val="22"/>
        </w:rPr>
        <w:t>213, F.A.C.</w:t>
      </w:r>
    </w:p>
    <w:p w:rsidR="007A7739" w:rsidRDefault="007A7739" w:rsidP="00A407A9">
      <w:pPr>
        <w:numPr>
          <w:ilvl w:val="0"/>
          <w:numId w:val="3"/>
        </w:numPr>
        <w:spacing w:after="60"/>
        <w:rPr>
          <w:sz w:val="22"/>
          <w:szCs w:val="22"/>
        </w:rPr>
      </w:pPr>
      <w:r w:rsidRPr="00877418">
        <w:rPr>
          <w:sz w:val="22"/>
          <w:szCs w:val="22"/>
        </w:rPr>
        <w:t xml:space="preserve">The </w:t>
      </w:r>
      <w:r w:rsidRPr="005F19F5">
        <w:rPr>
          <w:sz w:val="22"/>
          <w:szCs w:val="22"/>
        </w:rPr>
        <w:t>facility is</w:t>
      </w:r>
      <w:r w:rsidRPr="00877418">
        <w:rPr>
          <w:sz w:val="22"/>
          <w:szCs w:val="22"/>
        </w:rPr>
        <w:t xml:space="preserve"> a major </w:t>
      </w:r>
      <w:r>
        <w:rPr>
          <w:sz w:val="22"/>
          <w:szCs w:val="22"/>
        </w:rPr>
        <w:t xml:space="preserve">stationary source </w:t>
      </w:r>
      <w:r w:rsidRPr="00877418">
        <w:rPr>
          <w:sz w:val="22"/>
          <w:szCs w:val="22"/>
        </w:rPr>
        <w:t>in accordance with Rule 62-212.400, F.A.C.</w:t>
      </w:r>
      <w:r>
        <w:rPr>
          <w:sz w:val="22"/>
          <w:szCs w:val="22"/>
        </w:rPr>
        <w:t xml:space="preserve"> for the Prevention of Significant Deterioration (PSD) of Air Quality.</w:t>
      </w:r>
    </w:p>
    <w:p w:rsidR="007A7739" w:rsidRDefault="007A7739" w:rsidP="00A407A9">
      <w:pPr>
        <w:numPr>
          <w:ilvl w:val="0"/>
          <w:numId w:val="3"/>
        </w:numPr>
        <w:spacing w:after="60"/>
        <w:rPr>
          <w:sz w:val="22"/>
          <w:szCs w:val="22"/>
        </w:rPr>
      </w:pPr>
      <w:r>
        <w:rPr>
          <w:sz w:val="22"/>
          <w:szCs w:val="22"/>
        </w:rPr>
        <w:t xml:space="preserve">This </w:t>
      </w:r>
      <w:r w:rsidRPr="005E4F77">
        <w:rPr>
          <w:sz w:val="22"/>
          <w:szCs w:val="22"/>
        </w:rPr>
        <w:t xml:space="preserve">project </w:t>
      </w:r>
      <w:r>
        <w:rPr>
          <w:sz w:val="22"/>
          <w:szCs w:val="22"/>
        </w:rPr>
        <w:t xml:space="preserve">(as discussed below) </w:t>
      </w:r>
      <w:r w:rsidRPr="006019C1">
        <w:rPr>
          <w:b/>
          <w:sz w:val="22"/>
          <w:szCs w:val="22"/>
          <w:u w:val="single"/>
        </w:rPr>
        <w:t>does</w:t>
      </w:r>
      <w:r>
        <w:rPr>
          <w:b/>
          <w:sz w:val="22"/>
          <w:szCs w:val="22"/>
          <w:u w:val="single"/>
        </w:rPr>
        <w:t xml:space="preserve"> not</w:t>
      </w:r>
      <w:r w:rsidRPr="005E4F77">
        <w:rPr>
          <w:sz w:val="22"/>
          <w:szCs w:val="22"/>
        </w:rPr>
        <w:t xml:space="preserve"> trigger a PSD review and a requirement to conduct Best Available Control Technology (BACT) </w:t>
      </w:r>
      <w:r>
        <w:rPr>
          <w:sz w:val="22"/>
          <w:szCs w:val="22"/>
        </w:rPr>
        <w:t xml:space="preserve">determinations </w:t>
      </w:r>
      <w:r w:rsidRPr="005E4F77">
        <w:rPr>
          <w:sz w:val="22"/>
          <w:szCs w:val="22"/>
        </w:rPr>
        <w:t>pursuant to Department Rule 62-212.400, F.A.C.</w:t>
      </w:r>
    </w:p>
    <w:p w:rsidR="00A407A9" w:rsidRPr="00A407A9" w:rsidRDefault="00A407A9" w:rsidP="00A407A9">
      <w:pPr>
        <w:numPr>
          <w:ilvl w:val="0"/>
          <w:numId w:val="3"/>
        </w:numPr>
        <w:spacing w:after="60"/>
        <w:rPr>
          <w:sz w:val="22"/>
          <w:szCs w:val="22"/>
        </w:rPr>
      </w:pPr>
      <w:r w:rsidRPr="00A407A9">
        <w:rPr>
          <w:sz w:val="22"/>
          <w:szCs w:val="22"/>
        </w:rPr>
        <w:t>The proposed project includes units subject to Clean Air Interstate Rule (CAIR).</w:t>
      </w:r>
    </w:p>
    <w:p w:rsidR="00A407A9" w:rsidRPr="00A407A9" w:rsidRDefault="00A407A9" w:rsidP="00A407A9">
      <w:pPr>
        <w:numPr>
          <w:ilvl w:val="0"/>
          <w:numId w:val="17"/>
        </w:numPr>
        <w:spacing w:after="60"/>
        <w:ind w:left="360"/>
        <w:rPr>
          <w:sz w:val="22"/>
          <w:szCs w:val="22"/>
        </w:rPr>
      </w:pPr>
      <w:r w:rsidRPr="00A407A9">
        <w:rPr>
          <w:sz w:val="22"/>
          <w:szCs w:val="22"/>
        </w:rPr>
        <w:t xml:space="preserve">The proposed project includes units subject to the </w:t>
      </w:r>
      <w:r w:rsidR="00F0323C">
        <w:rPr>
          <w:sz w:val="22"/>
          <w:szCs w:val="22"/>
        </w:rPr>
        <w:t>New Source Performance Standards (</w:t>
      </w:r>
      <w:r w:rsidRPr="00A407A9">
        <w:rPr>
          <w:sz w:val="22"/>
          <w:szCs w:val="22"/>
        </w:rPr>
        <w:t>NSPS</w:t>
      </w:r>
      <w:r w:rsidR="00F0323C">
        <w:rPr>
          <w:sz w:val="22"/>
          <w:szCs w:val="22"/>
        </w:rPr>
        <w:t>)</w:t>
      </w:r>
      <w:r w:rsidRPr="00A407A9">
        <w:rPr>
          <w:sz w:val="22"/>
          <w:szCs w:val="22"/>
        </w:rPr>
        <w:t xml:space="preserve"> of </w:t>
      </w:r>
      <w:r w:rsidR="00F0323C">
        <w:rPr>
          <w:sz w:val="22"/>
          <w:szCs w:val="22"/>
        </w:rPr>
        <w:t xml:space="preserve">Title </w:t>
      </w:r>
      <w:r w:rsidRPr="00A407A9">
        <w:rPr>
          <w:sz w:val="22"/>
          <w:szCs w:val="22"/>
        </w:rPr>
        <w:t xml:space="preserve">40 </w:t>
      </w:r>
      <w:r w:rsidR="00F0323C">
        <w:rPr>
          <w:sz w:val="22"/>
          <w:szCs w:val="22"/>
        </w:rPr>
        <w:t>Code of federal regulations (</w:t>
      </w:r>
      <w:r w:rsidRPr="00A407A9">
        <w:rPr>
          <w:sz w:val="22"/>
          <w:szCs w:val="22"/>
        </w:rPr>
        <w:t>CFR</w:t>
      </w:r>
      <w:r w:rsidR="00F0323C">
        <w:rPr>
          <w:sz w:val="22"/>
          <w:szCs w:val="22"/>
        </w:rPr>
        <w:t>) Part</w:t>
      </w:r>
      <w:r w:rsidRPr="00A407A9">
        <w:rPr>
          <w:sz w:val="22"/>
          <w:szCs w:val="22"/>
        </w:rPr>
        <w:t xml:space="preserve"> 60.</w:t>
      </w:r>
    </w:p>
    <w:p w:rsidR="00A407A9" w:rsidRPr="00A407A9" w:rsidRDefault="00A407A9" w:rsidP="00A407A9">
      <w:pPr>
        <w:numPr>
          <w:ilvl w:val="0"/>
          <w:numId w:val="3"/>
        </w:numPr>
        <w:spacing w:after="120"/>
        <w:rPr>
          <w:sz w:val="22"/>
          <w:szCs w:val="22"/>
        </w:rPr>
      </w:pPr>
      <w:r w:rsidRPr="00A407A9">
        <w:rPr>
          <w:sz w:val="22"/>
          <w:szCs w:val="22"/>
        </w:rPr>
        <w:t xml:space="preserve">The proposed project includes units subject to the </w:t>
      </w:r>
      <w:r w:rsidR="00F0323C">
        <w:rPr>
          <w:sz w:val="22"/>
          <w:szCs w:val="22"/>
        </w:rPr>
        <w:t>National Emission Standards for Hazardous Air Pollutants (</w:t>
      </w:r>
      <w:r w:rsidRPr="00A407A9">
        <w:rPr>
          <w:sz w:val="22"/>
          <w:szCs w:val="22"/>
        </w:rPr>
        <w:t>NESHAP</w:t>
      </w:r>
      <w:r w:rsidR="00F0323C">
        <w:rPr>
          <w:sz w:val="22"/>
          <w:szCs w:val="22"/>
        </w:rPr>
        <w:t>)</w:t>
      </w:r>
      <w:r w:rsidRPr="00A407A9">
        <w:rPr>
          <w:sz w:val="22"/>
          <w:szCs w:val="22"/>
        </w:rPr>
        <w:t xml:space="preserve"> of 40 CFR 63.</w:t>
      </w:r>
    </w:p>
    <w:p w:rsidR="007A7739" w:rsidRPr="00AA49BE" w:rsidRDefault="00AA49BE" w:rsidP="00AA49BE">
      <w:pPr>
        <w:pStyle w:val="ListParagraph"/>
        <w:numPr>
          <w:ilvl w:val="2"/>
          <w:numId w:val="15"/>
        </w:numPr>
        <w:spacing w:after="120"/>
        <w:ind w:left="720" w:hanging="720"/>
        <w:contextualSpacing w:val="0"/>
        <w:rPr>
          <w:rFonts w:ascii="Times New Roman Bold" w:hAnsi="Times New Roman Bold"/>
          <w:b/>
          <w:sz w:val="22"/>
          <w:szCs w:val="22"/>
        </w:rPr>
      </w:pPr>
      <w:r w:rsidRPr="0015095D">
        <w:rPr>
          <w:bCs/>
          <w:sz w:val="22"/>
          <w:szCs w:val="22"/>
          <w:u w:val="single"/>
        </w:rPr>
        <w:t>State Regulations</w:t>
      </w:r>
    </w:p>
    <w:p w:rsidR="007A7739" w:rsidRDefault="00AA49BE" w:rsidP="00EE6112">
      <w:pPr>
        <w:spacing w:after="120"/>
        <w:rPr>
          <w:sz w:val="22"/>
          <w:szCs w:val="22"/>
        </w:rPr>
      </w:pPr>
      <w:r w:rsidRPr="005455CE">
        <w:rPr>
          <w:sz w:val="22"/>
          <w:szCs w:val="22"/>
        </w:rPr>
        <w:t>Projects at stationary sources with the potential to emit air pollution are subject to the applicable environmental laws specified in Section 403 of the Florida Statutes (F.S.).  The statutes authorize the Department of Environmental Protection (Department) to establish air quality regulations as part of the Florida Administrative Code (F.A.C.), which includes the applicable chapters contained in</w:t>
      </w:r>
      <w:r>
        <w:rPr>
          <w:sz w:val="22"/>
          <w:szCs w:val="22"/>
        </w:rPr>
        <w:t xml:space="preserve"> </w:t>
      </w:r>
      <w:r w:rsidRPr="00AA49BE">
        <w:rPr>
          <w:sz w:val="22"/>
          <w:szCs w:val="22"/>
        </w:rPr>
        <w:fldChar w:fldCharType="begin"/>
      </w:r>
      <w:r w:rsidRPr="00AA49BE">
        <w:rPr>
          <w:sz w:val="22"/>
          <w:szCs w:val="22"/>
        </w:rPr>
        <w:instrText xml:space="preserve"> REF _Ref381685484 \h  \* MERGEFORMAT </w:instrText>
      </w:r>
      <w:r w:rsidRPr="00AA49BE">
        <w:rPr>
          <w:sz w:val="22"/>
          <w:szCs w:val="22"/>
        </w:rPr>
      </w:r>
      <w:r w:rsidRPr="00AA49BE">
        <w:rPr>
          <w:sz w:val="22"/>
          <w:szCs w:val="22"/>
        </w:rPr>
        <w:fldChar w:fldCharType="separate"/>
      </w:r>
      <w:r w:rsidRPr="00AA49BE">
        <w:rPr>
          <w:b/>
          <w:color w:val="000000" w:themeColor="text1"/>
          <w:sz w:val="22"/>
          <w:szCs w:val="22"/>
        </w:rPr>
        <w:t xml:space="preserve">Table </w:t>
      </w:r>
      <w:r w:rsidRPr="00AA49BE">
        <w:rPr>
          <w:b/>
          <w:noProof/>
          <w:color w:val="000000" w:themeColor="text1"/>
          <w:sz w:val="22"/>
          <w:szCs w:val="22"/>
        </w:rPr>
        <w:t>2</w:t>
      </w:r>
      <w:r w:rsidRPr="00AA49BE">
        <w:rPr>
          <w:sz w:val="22"/>
          <w:szCs w:val="22"/>
        </w:rPr>
        <w:fldChar w:fldCharType="end"/>
      </w:r>
      <w:r>
        <w:rPr>
          <w:sz w:val="22"/>
          <w:szCs w:val="22"/>
        </w:rPr>
        <w:t>.</w:t>
      </w:r>
    </w:p>
    <w:p w:rsidR="007A7739" w:rsidRPr="00AA49BE" w:rsidRDefault="00AA49BE" w:rsidP="00AA49BE">
      <w:pPr>
        <w:pStyle w:val="Caption"/>
        <w:spacing w:after="120"/>
        <w:jc w:val="center"/>
        <w:rPr>
          <w:rFonts w:ascii="Times New Roman Bold" w:hAnsi="Times New Roman Bold"/>
          <w:b/>
          <w:i w:val="0"/>
          <w:caps/>
          <w:color w:val="000000" w:themeColor="text1"/>
          <w:sz w:val="22"/>
          <w:szCs w:val="22"/>
        </w:rPr>
      </w:pPr>
      <w:bookmarkStart w:id="6" w:name="_Ref381685484"/>
      <w:r w:rsidRPr="00AA49BE">
        <w:rPr>
          <w:rFonts w:ascii="Times New Roman Bold" w:hAnsi="Times New Roman Bold"/>
          <w:b/>
          <w:i w:val="0"/>
          <w:caps/>
          <w:color w:val="000000" w:themeColor="text1"/>
          <w:sz w:val="22"/>
          <w:szCs w:val="22"/>
        </w:rPr>
        <w:t xml:space="preserve">Table </w:t>
      </w:r>
      <w:r w:rsidRPr="00AA49BE">
        <w:rPr>
          <w:rFonts w:ascii="Times New Roman Bold" w:hAnsi="Times New Roman Bold"/>
          <w:b/>
          <w:i w:val="0"/>
          <w:caps/>
          <w:color w:val="000000" w:themeColor="text1"/>
          <w:sz w:val="22"/>
          <w:szCs w:val="22"/>
        </w:rPr>
        <w:fldChar w:fldCharType="begin"/>
      </w:r>
      <w:r w:rsidRPr="00AA49BE">
        <w:rPr>
          <w:rFonts w:ascii="Times New Roman Bold" w:hAnsi="Times New Roman Bold"/>
          <w:b/>
          <w:i w:val="0"/>
          <w:caps/>
          <w:color w:val="000000" w:themeColor="text1"/>
          <w:sz w:val="22"/>
          <w:szCs w:val="22"/>
        </w:rPr>
        <w:instrText xml:space="preserve"> SEQ Table \* ARABIC </w:instrText>
      </w:r>
      <w:r w:rsidRPr="00AA49BE">
        <w:rPr>
          <w:rFonts w:ascii="Times New Roman Bold" w:hAnsi="Times New Roman Bold"/>
          <w:b/>
          <w:i w:val="0"/>
          <w:caps/>
          <w:color w:val="000000" w:themeColor="text1"/>
          <w:sz w:val="22"/>
          <w:szCs w:val="22"/>
        </w:rPr>
        <w:fldChar w:fldCharType="separate"/>
      </w:r>
      <w:r w:rsidR="008A57F6">
        <w:rPr>
          <w:rFonts w:ascii="Times New Roman Bold" w:hAnsi="Times New Roman Bold"/>
          <w:b/>
          <w:i w:val="0"/>
          <w:caps/>
          <w:noProof/>
          <w:color w:val="000000" w:themeColor="text1"/>
          <w:sz w:val="22"/>
          <w:szCs w:val="22"/>
        </w:rPr>
        <w:t>2</w:t>
      </w:r>
      <w:r w:rsidRPr="00AA49BE">
        <w:rPr>
          <w:rFonts w:ascii="Times New Roman Bold" w:hAnsi="Times New Roman Bold"/>
          <w:b/>
          <w:i w:val="0"/>
          <w:caps/>
          <w:color w:val="000000" w:themeColor="text1"/>
          <w:sz w:val="22"/>
          <w:szCs w:val="22"/>
        </w:rPr>
        <w:fldChar w:fldCharType="end"/>
      </w:r>
      <w:bookmarkEnd w:id="6"/>
      <w:r w:rsidRPr="00AA49BE">
        <w:rPr>
          <w:rFonts w:ascii="Times New Roman Bold" w:hAnsi="Times New Roman Bold"/>
          <w:b/>
          <w:i w:val="0"/>
          <w:caps/>
          <w:color w:val="000000" w:themeColor="text1"/>
          <w:sz w:val="22"/>
          <w:szCs w:val="22"/>
        </w:rPr>
        <w:t xml:space="preserve">.  </w:t>
      </w:r>
      <w:r w:rsidRPr="00AA49BE">
        <w:rPr>
          <w:rFonts w:ascii="Times New Roman Bold" w:hAnsi="Times New Roman Bold"/>
          <w:b/>
          <w:bCs/>
          <w:i w:val="0"/>
          <w:caps/>
          <w:color w:val="000000" w:themeColor="text1"/>
          <w:sz w:val="22"/>
          <w:szCs w:val="22"/>
        </w:rPr>
        <w:t>Applicable Rules from the F.A.C.</w:t>
      </w:r>
    </w:p>
    <w:tbl>
      <w:tblPr>
        <w:tblW w:w="9237" w:type="dxa"/>
        <w:jc w:val="center"/>
        <w:tblBorders>
          <w:top w:val="single" w:sz="12" w:space="0" w:color="auto"/>
          <w:left w:val="single" w:sz="12" w:space="0" w:color="auto"/>
          <w:bottom w:val="single" w:sz="12" w:space="0" w:color="auto"/>
          <w:right w:val="single" w:sz="12" w:space="0" w:color="auto"/>
          <w:insideH w:val="single" w:sz="4" w:space="0" w:color="000000"/>
          <w:insideV w:val="single" w:sz="4" w:space="0" w:color="000000"/>
        </w:tblBorders>
        <w:tblLayout w:type="fixed"/>
        <w:tblLook w:val="0000" w:firstRow="0" w:lastRow="0" w:firstColumn="0" w:lastColumn="0" w:noHBand="0" w:noVBand="0"/>
      </w:tblPr>
      <w:tblGrid>
        <w:gridCol w:w="1620"/>
        <w:gridCol w:w="7617"/>
      </w:tblGrid>
      <w:tr w:rsidR="00AA49BE" w:rsidRPr="005455CE" w:rsidTr="00EA49ED">
        <w:trPr>
          <w:trHeight w:val="147"/>
          <w:tblHeader/>
          <w:jc w:val="center"/>
        </w:trPr>
        <w:tc>
          <w:tcPr>
            <w:tcW w:w="1620" w:type="dxa"/>
            <w:shd w:val="clear" w:color="auto" w:fill="BDD6EE" w:themeFill="accent1" w:themeFillTint="66"/>
            <w:vAlign w:val="center"/>
          </w:tcPr>
          <w:p w:rsidR="00AA49BE" w:rsidRPr="00BC6B5B" w:rsidRDefault="00AA49BE" w:rsidP="002274FF">
            <w:pPr>
              <w:autoSpaceDE w:val="0"/>
              <w:autoSpaceDN w:val="0"/>
              <w:adjustRightInd w:val="0"/>
              <w:spacing w:before="40" w:after="40"/>
              <w:jc w:val="center"/>
              <w:rPr>
                <w:color w:val="000000"/>
                <w:sz w:val="22"/>
                <w:szCs w:val="22"/>
              </w:rPr>
            </w:pPr>
            <w:r w:rsidRPr="00BC6B5B">
              <w:rPr>
                <w:b/>
                <w:bCs/>
                <w:color w:val="000000"/>
                <w:sz w:val="22"/>
                <w:szCs w:val="22"/>
              </w:rPr>
              <w:t>Chapter</w:t>
            </w:r>
          </w:p>
        </w:tc>
        <w:tc>
          <w:tcPr>
            <w:tcW w:w="7617" w:type="dxa"/>
            <w:shd w:val="clear" w:color="auto" w:fill="BDD6EE" w:themeFill="accent1" w:themeFillTint="66"/>
            <w:vAlign w:val="center"/>
          </w:tcPr>
          <w:p w:rsidR="00AA49BE" w:rsidRPr="00BC6B5B" w:rsidRDefault="00AA49BE" w:rsidP="002274FF">
            <w:pPr>
              <w:autoSpaceDE w:val="0"/>
              <w:autoSpaceDN w:val="0"/>
              <w:adjustRightInd w:val="0"/>
              <w:spacing w:before="40" w:after="40"/>
              <w:jc w:val="center"/>
              <w:rPr>
                <w:color w:val="000000"/>
                <w:sz w:val="22"/>
                <w:szCs w:val="22"/>
              </w:rPr>
            </w:pPr>
            <w:r w:rsidRPr="00BC6B5B">
              <w:rPr>
                <w:b/>
                <w:bCs/>
                <w:color w:val="000000"/>
                <w:sz w:val="22"/>
                <w:szCs w:val="22"/>
              </w:rPr>
              <w:t>Description</w:t>
            </w:r>
          </w:p>
        </w:tc>
      </w:tr>
      <w:tr w:rsidR="00AA49BE" w:rsidRPr="005455CE" w:rsidTr="00AA49BE">
        <w:trPr>
          <w:trHeight w:val="145"/>
          <w:jc w:val="center"/>
        </w:trPr>
        <w:tc>
          <w:tcPr>
            <w:tcW w:w="1620" w:type="dxa"/>
            <w:vAlign w:val="center"/>
          </w:tcPr>
          <w:p w:rsidR="00AA49BE" w:rsidRPr="00BC6B5B" w:rsidRDefault="00FD588D" w:rsidP="002274FF">
            <w:pPr>
              <w:autoSpaceDE w:val="0"/>
              <w:autoSpaceDN w:val="0"/>
              <w:adjustRightInd w:val="0"/>
              <w:spacing w:before="20" w:after="20"/>
              <w:jc w:val="center"/>
              <w:rPr>
                <w:color w:val="000000"/>
                <w:sz w:val="22"/>
                <w:szCs w:val="22"/>
              </w:rPr>
            </w:pPr>
            <w:hyperlink r:id="rId14" w:history="1">
              <w:r w:rsidR="00AA49BE" w:rsidRPr="00BC6B5B">
                <w:rPr>
                  <w:color w:val="0000FF"/>
                  <w:sz w:val="22"/>
                  <w:szCs w:val="22"/>
                  <w:u w:val="single"/>
                </w:rPr>
                <w:t>62-4</w:t>
              </w:r>
            </w:hyperlink>
          </w:p>
        </w:tc>
        <w:tc>
          <w:tcPr>
            <w:tcW w:w="7617" w:type="dxa"/>
          </w:tcPr>
          <w:p w:rsidR="00AA49BE" w:rsidRPr="00BC6B5B" w:rsidRDefault="00AA49BE" w:rsidP="002274FF">
            <w:pPr>
              <w:autoSpaceDE w:val="0"/>
              <w:autoSpaceDN w:val="0"/>
              <w:adjustRightInd w:val="0"/>
              <w:spacing w:before="20" w:after="20"/>
              <w:rPr>
                <w:color w:val="000000"/>
                <w:sz w:val="22"/>
                <w:szCs w:val="22"/>
              </w:rPr>
            </w:pPr>
            <w:r w:rsidRPr="00BC6B5B">
              <w:rPr>
                <w:color w:val="000000"/>
                <w:sz w:val="22"/>
                <w:szCs w:val="22"/>
              </w:rPr>
              <w:t xml:space="preserve">Permits </w:t>
            </w:r>
          </w:p>
        </w:tc>
      </w:tr>
      <w:tr w:rsidR="00AA49BE" w:rsidRPr="005455CE" w:rsidTr="00AA49BE">
        <w:trPr>
          <w:trHeight w:val="145"/>
          <w:jc w:val="center"/>
        </w:trPr>
        <w:tc>
          <w:tcPr>
            <w:tcW w:w="1620" w:type="dxa"/>
            <w:vAlign w:val="center"/>
          </w:tcPr>
          <w:p w:rsidR="00AA49BE" w:rsidRPr="00BC6B5B" w:rsidRDefault="00FD588D" w:rsidP="002274FF">
            <w:pPr>
              <w:autoSpaceDE w:val="0"/>
              <w:autoSpaceDN w:val="0"/>
              <w:adjustRightInd w:val="0"/>
              <w:spacing w:before="20" w:after="20"/>
              <w:jc w:val="center"/>
              <w:rPr>
                <w:color w:val="000000"/>
                <w:sz w:val="22"/>
                <w:szCs w:val="22"/>
              </w:rPr>
            </w:pPr>
            <w:hyperlink r:id="rId15" w:history="1">
              <w:r w:rsidR="00AA49BE" w:rsidRPr="00BC6B5B">
                <w:rPr>
                  <w:color w:val="0000FF"/>
                  <w:sz w:val="22"/>
                  <w:szCs w:val="22"/>
                  <w:u w:val="single"/>
                </w:rPr>
                <w:t>62-204</w:t>
              </w:r>
            </w:hyperlink>
          </w:p>
        </w:tc>
        <w:tc>
          <w:tcPr>
            <w:tcW w:w="7617" w:type="dxa"/>
          </w:tcPr>
          <w:p w:rsidR="00AA49BE" w:rsidRPr="00BC6B5B" w:rsidRDefault="00AA49BE" w:rsidP="002274FF">
            <w:pPr>
              <w:autoSpaceDE w:val="0"/>
              <w:autoSpaceDN w:val="0"/>
              <w:adjustRightInd w:val="0"/>
              <w:spacing w:before="20" w:after="20"/>
              <w:rPr>
                <w:color w:val="000000"/>
                <w:sz w:val="22"/>
                <w:szCs w:val="22"/>
              </w:rPr>
            </w:pPr>
            <w:r w:rsidRPr="00BC6B5B">
              <w:rPr>
                <w:color w:val="000000"/>
                <w:sz w:val="22"/>
                <w:szCs w:val="22"/>
              </w:rPr>
              <w:t xml:space="preserve">Air Pollution Control – General Provisions </w:t>
            </w:r>
          </w:p>
        </w:tc>
      </w:tr>
      <w:tr w:rsidR="00AA49BE" w:rsidRPr="005455CE" w:rsidTr="00AA49BE">
        <w:trPr>
          <w:trHeight w:val="145"/>
          <w:jc w:val="center"/>
        </w:trPr>
        <w:tc>
          <w:tcPr>
            <w:tcW w:w="1620" w:type="dxa"/>
            <w:vAlign w:val="center"/>
          </w:tcPr>
          <w:p w:rsidR="00AA49BE" w:rsidRPr="00BC6B5B" w:rsidRDefault="00FD588D" w:rsidP="002274FF">
            <w:pPr>
              <w:autoSpaceDE w:val="0"/>
              <w:autoSpaceDN w:val="0"/>
              <w:adjustRightInd w:val="0"/>
              <w:spacing w:before="20" w:after="20"/>
              <w:jc w:val="center"/>
              <w:rPr>
                <w:color w:val="000000"/>
                <w:sz w:val="22"/>
                <w:szCs w:val="22"/>
              </w:rPr>
            </w:pPr>
            <w:hyperlink r:id="rId16" w:history="1">
              <w:r w:rsidR="00AA49BE" w:rsidRPr="00BC6B5B">
                <w:rPr>
                  <w:color w:val="0000FF"/>
                  <w:sz w:val="22"/>
                  <w:szCs w:val="22"/>
                  <w:u w:val="single"/>
                </w:rPr>
                <w:t>62-210</w:t>
              </w:r>
            </w:hyperlink>
          </w:p>
        </w:tc>
        <w:tc>
          <w:tcPr>
            <w:tcW w:w="7617" w:type="dxa"/>
          </w:tcPr>
          <w:p w:rsidR="00AA49BE" w:rsidRPr="00BC6B5B" w:rsidRDefault="00AA49BE" w:rsidP="002274FF">
            <w:pPr>
              <w:autoSpaceDE w:val="0"/>
              <w:autoSpaceDN w:val="0"/>
              <w:adjustRightInd w:val="0"/>
              <w:spacing w:before="20" w:after="20"/>
              <w:rPr>
                <w:color w:val="000000"/>
                <w:sz w:val="22"/>
                <w:szCs w:val="22"/>
              </w:rPr>
            </w:pPr>
            <w:r w:rsidRPr="00BC6B5B">
              <w:rPr>
                <w:color w:val="000000"/>
                <w:sz w:val="22"/>
                <w:szCs w:val="22"/>
              </w:rPr>
              <w:t xml:space="preserve">Stationary Sources of Air Pollution – General Requirements </w:t>
            </w:r>
          </w:p>
        </w:tc>
      </w:tr>
      <w:tr w:rsidR="00AA49BE" w:rsidRPr="005455CE" w:rsidTr="00AA49BE">
        <w:trPr>
          <w:trHeight w:val="145"/>
          <w:jc w:val="center"/>
        </w:trPr>
        <w:tc>
          <w:tcPr>
            <w:tcW w:w="1620" w:type="dxa"/>
            <w:vAlign w:val="center"/>
          </w:tcPr>
          <w:p w:rsidR="00AA49BE" w:rsidRPr="00BC6B5B" w:rsidRDefault="00FD588D" w:rsidP="002274FF">
            <w:pPr>
              <w:autoSpaceDE w:val="0"/>
              <w:autoSpaceDN w:val="0"/>
              <w:adjustRightInd w:val="0"/>
              <w:spacing w:before="20" w:after="20"/>
              <w:jc w:val="center"/>
              <w:rPr>
                <w:color w:val="000000"/>
                <w:sz w:val="22"/>
                <w:szCs w:val="22"/>
              </w:rPr>
            </w:pPr>
            <w:hyperlink r:id="rId17" w:history="1">
              <w:r w:rsidR="00AA49BE" w:rsidRPr="00BC6B5B">
                <w:rPr>
                  <w:color w:val="0000FF"/>
                  <w:sz w:val="22"/>
                  <w:szCs w:val="22"/>
                  <w:u w:val="single"/>
                </w:rPr>
                <w:t>62-212</w:t>
              </w:r>
            </w:hyperlink>
          </w:p>
        </w:tc>
        <w:tc>
          <w:tcPr>
            <w:tcW w:w="7617" w:type="dxa"/>
          </w:tcPr>
          <w:p w:rsidR="00AA49BE" w:rsidRPr="00BC6B5B" w:rsidRDefault="00AA49BE" w:rsidP="002274FF">
            <w:pPr>
              <w:autoSpaceDE w:val="0"/>
              <w:autoSpaceDN w:val="0"/>
              <w:adjustRightInd w:val="0"/>
              <w:spacing w:before="20" w:after="20"/>
              <w:rPr>
                <w:color w:val="000000"/>
                <w:sz w:val="22"/>
                <w:szCs w:val="22"/>
              </w:rPr>
            </w:pPr>
            <w:r w:rsidRPr="00BC6B5B">
              <w:rPr>
                <w:color w:val="000000"/>
                <w:sz w:val="22"/>
                <w:szCs w:val="22"/>
              </w:rPr>
              <w:t xml:space="preserve">Stationary Sources – Preconstruction Review </w:t>
            </w:r>
          </w:p>
        </w:tc>
      </w:tr>
      <w:tr w:rsidR="00AA49BE" w:rsidRPr="005455CE" w:rsidTr="00AA49BE">
        <w:trPr>
          <w:trHeight w:val="145"/>
          <w:jc w:val="center"/>
        </w:trPr>
        <w:tc>
          <w:tcPr>
            <w:tcW w:w="1620" w:type="dxa"/>
            <w:vAlign w:val="center"/>
          </w:tcPr>
          <w:p w:rsidR="00AA49BE" w:rsidRPr="00BC6B5B" w:rsidRDefault="00FD588D" w:rsidP="002274FF">
            <w:pPr>
              <w:autoSpaceDE w:val="0"/>
              <w:autoSpaceDN w:val="0"/>
              <w:adjustRightInd w:val="0"/>
              <w:spacing w:before="20" w:after="20"/>
              <w:jc w:val="center"/>
              <w:rPr>
                <w:color w:val="000000"/>
                <w:sz w:val="22"/>
                <w:szCs w:val="22"/>
              </w:rPr>
            </w:pPr>
            <w:hyperlink r:id="rId18" w:history="1">
              <w:r w:rsidR="00AA49BE" w:rsidRPr="00BC6B5B">
                <w:rPr>
                  <w:color w:val="0000FF"/>
                  <w:sz w:val="22"/>
                  <w:szCs w:val="22"/>
                  <w:u w:val="single"/>
                </w:rPr>
                <w:t>62-213</w:t>
              </w:r>
            </w:hyperlink>
          </w:p>
        </w:tc>
        <w:tc>
          <w:tcPr>
            <w:tcW w:w="7617" w:type="dxa"/>
          </w:tcPr>
          <w:p w:rsidR="00AA49BE" w:rsidRPr="00BC6B5B" w:rsidRDefault="00AA49BE" w:rsidP="002274FF">
            <w:pPr>
              <w:autoSpaceDE w:val="0"/>
              <w:autoSpaceDN w:val="0"/>
              <w:adjustRightInd w:val="0"/>
              <w:spacing w:before="20" w:after="20"/>
              <w:rPr>
                <w:color w:val="000000"/>
                <w:sz w:val="22"/>
                <w:szCs w:val="22"/>
              </w:rPr>
            </w:pPr>
            <w:r w:rsidRPr="00BC6B5B">
              <w:rPr>
                <w:color w:val="000000"/>
                <w:sz w:val="22"/>
                <w:szCs w:val="22"/>
              </w:rPr>
              <w:t xml:space="preserve">Operation Permits for Major Sources (Title V) of Air Pollution </w:t>
            </w:r>
          </w:p>
        </w:tc>
      </w:tr>
      <w:tr w:rsidR="00AA49BE" w:rsidRPr="005455CE" w:rsidTr="00AA49BE">
        <w:trPr>
          <w:trHeight w:val="145"/>
          <w:jc w:val="center"/>
        </w:trPr>
        <w:tc>
          <w:tcPr>
            <w:tcW w:w="1620" w:type="dxa"/>
            <w:vAlign w:val="center"/>
          </w:tcPr>
          <w:p w:rsidR="00AA49BE" w:rsidRPr="00BC6B5B" w:rsidRDefault="00FD588D" w:rsidP="002274FF">
            <w:pPr>
              <w:autoSpaceDE w:val="0"/>
              <w:autoSpaceDN w:val="0"/>
              <w:adjustRightInd w:val="0"/>
              <w:spacing w:before="20" w:after="20"/>
              <w:jc w:val="center"/>
              <w:rPr>
                <w:color w:val="000000"/>
                <w:sz w:val="22"/>
                <w:szCs w:val="22"/>
              </w:rPr>
            </w:pPr>
            <w:hyperlink r:id="rId19" w:history="1">
              <w:r w:rsidR="00AA49BE" w:rsidRPr="00BC6B5B">
                <w:rPr>
                  <w:color w:val="0000FF"/>
                  <w:sz w:val="22"/>
                  <w:szCs w:val="22"/>
                  <w:u w:val="single"/>
                </w:rPr>
                <w:t>62-296</w:t>
              </w:r>
            </w:hyperlink>
          </w:p>
        </w:tc>
        <w:tc>
          <w:tcPr>
            <w:tcW w:w="7617" w:type="dxa"/>
          </w:tcPr>
          <w:p w:rsidR="00AA49BE" w:rsidRPr="00BC6B5B" w:rsidRDefault="00AA49BE" w:rsidP="002274FF">
            <w:pPr>
              <w:autoSpaceDE w:val="0"/>
              <w:autoSpaceDN w:val="0"/>
              <w:adjustRightInd w:val="0"/>
              <w:spacing w:before="20" w:after="20"/>
              <w:rPr>
                <w:color w:val="000000"/>
                <w:sz w:val="22"/>
                <w:szCs w:val="22"/>
              </w:rPr>
            </w:pPr>
            <w:r w:rsidRPr="00BC6B5B">
              <w:rPr>
                <w:color w:val="000000"/>
                <w:sz w:val="22"/>
                <w:szCs w:val="22"/>
              </w:rPr>
              <w:t xml:space="preserve">Stationary Sources – Emission Standards </w:t>
            </w:r>
          </w:p>
        </w:tc>
      </w:tr>
      <w:tr w:rsidR="00AA49BE" w:rsidRPr="005455CE" w:rsidTr="00AA49BE">
        <w:trPr>
          <w:trHeight w:val="145"/>
          <w:jc w:val="center"/>
        </w:trPr>
        <w:tc>
          <w:tcPr>
            <w:tcW w:w="1620" w:type="dxa"/>
            <w:vAlign w:val="center"/>
          </w:tcPr>
          <w:p w:rsidR="00AA49BE" w:rsidRPr="00BC6B5B" w:rsidRDefault="00FD588D" w:rsidP="002274FF">
            <w:pPr>
              <w:autoSpaceDE w:val="0"/>
              <w:autoSpaceDN w:val="0"/>
              <w:adjustRightInd w:val="0"/>
              <w:spacing w:before="20" w:after="20"/>
              <w:jc w:val="center"/>
              <w:rPr>
                <w:color w:val="000000"/>
                <w:sz w:val="22"/>
                <w:szCs w:val="22"/>
              </w:rPr>
            </w:pPr>
            <w:hyperlink r:id="rId20" w:history="1">
              <w:r w:rsidR="00AA49BE" w:rsidRPr="00BC6B5B">
                <w:rPr>
                  <w:color w:val="0000FF"/>
                  <w:sz w:val="22"/>
                  <w:szCs w:val="22"/>
                  <w:u w:val="single"/>
                </w:rPr>
                <w:t>62-297</w:t>
              </w:r>
            </w:hyperlink>
          </w:p>
        </w:tc>
        <w:tc>
          <w:tcPr>
            <w:tcW w:w="7617" w:type="dxa"/>
          </w:tcPr>
          <w:p w:rsidR="00AA49BE" w:rsidRPr="00BC6B5B" w:rsidRDefault="00AA49BE" w:rsidP="002274FF">
            <w:pPr>
              <w:autoSpaceDE w:val="0"/>
              <w:autoSpaceDN w:val="0"/>
              <w:adjustRightInd w:val="0"/>
              <w:spacing w:before="20" w:after="20"/>
              <w:rPr>
                <w:color w:val="000000"/>
                <w:sz w:val="22"/>
                <w:szCs w:val="22"/>
              </w:rPr>
            </w:pPr>
            <w:r w:rsidRPr="00BC6B5B">
              <w:rPr>
                <w:color w:val="000000"/>
                <w:sz w:val="22"/>
                <w:szCs w:val="22"/>
              </w:rPr>
              <w:t xml:space="preserve">Stationary Sources – Emissions Monitoring </w:t>
            </w:r>
          </w:p>
        </w:tc>
      </w:tr>
    </w:tbl>
    <w:p w:rsidR="007A7739" w:rsidRDefault="00AA49BE" w:rsidP="00AA49BE">
      <w:pPr>
        <w:pStyle w:val="ListParagraph"/>
        <w:numPr>
          <w:ilvl w:val="1"/>
          <w:numId w:val="15"/>
        </w:numPr>
        <w:spacing w:before="120" w:after="120"/>
        <w:ind w:left="720" w:hanging="720"/>
        <w:contextualSpacing w:val="0"/>
        <w:rPr>
          <w:rFonts w:ascii="Times New Roman Bold" w:hAnsi="Times New Roman Bold"/>
          <w:b/>
          <w:sz w:val="22"/>
          <w:szCs w:val="22"/>
        </w:rPr>
      </w:pPr>
      <w:r>
        <w:rPr>
          <w:rFonts w:ascii="Times New Roman Bold" w:hAnsi="Times New Roman Bold"/>
          <w:b/>
          <w:sz w:val="22"/>
          <w:szCs w:val="22"/>
        </w:rPr>
        <w:t>Project Description</w:t>
      </w:r>
    </w:p>
    <w:p w:rsidR="00AA49BE" w:rsidRPr="007A7739" w:rsidRDefault="00AA49BE" w:rsidP="00AA49BE">
      <w:pPr>
        <w:spacing w:after="120"/>
        <w:rPr>
          <w:sz w:val="22"/>
          <w:szCs w:val="22"/>
        </w:rPr>
      </w:pPr>
      <w:r>
        <w:rPr>
          <w:sz w:val="22"/>
          <w:szCs w:val="22"/>
        </w:rPr>
        <w:t>This project involves</w:t>
      </w:r>
      <w:r w:rsidRPr="0011612D">
        <w:rPr>
          <w:sz w:val="22"/>
          <w:szCs w:val="22"/>
        </w:rPr>
        <w:t xml:space="preserve"> the construction of a </w:t>
      </w:r>
      <w:r>
        <w:rPr>
          <w:sz w:val="22"/>
          <w:szCs w:val="22"/>
        </w:rPr>
        <w:t xml:space="preserve">new </w:t>
      </w:r>
      <w:r w:rsidRPr="0011612D">
        <w:rPr>
          <w:sz w:val="22"/>
          <w:szCs w:val="22"/>
        </w:rPr>
        <w:t>steam boiler to replace the</w:t>
      </w:r>
      <w:r>
        <w:rPr>
          <w:sz w:val="22"/>
          <w:szCs w:val="22"/>
        </w:rPr>
        <w:t xml:space="preserve"> </w:t>
      </w:r>
      <w:r w:rsidRPr="0011612D">
        <w:rPr>
          <w:sz w:val="22"/>
          <w:szCs w:val="22"/>
        </w:rPr>
        <w:t xml:space="preserve">existing </w:t>
      </w:r>
      <w:r w:rsidR="00792659">
        <w:rPr>
          <w:sz w:val="22"/>
          <w:szCs w:val="22"/>
        </w:rPr>
        <w:t xml:space="preserve">Backup Steam </w:t>
      </w:r>
      <w:r w:rsidRPr="0011612D">
        <w:rPr>
          <w:sz w:val="22"/>
          <w:szCs w:val="22"/>
        </w:rPr>
        <w:t>Boiler No. 4 (EU 002)</w:t>
      </w:r>
      <w:r>
        <w:rPr>
          <w:sz w:val="22"/>
          <w:szCs w:val="22"/>
        </w:rPr>
        <w:t xml:space="preserve"> at the UF CoGen Plant.  The new boiler will</w:t>
      </w:r>
      <w:r w:rsidRPr="0011612D">
        <w:rPr>
          <w:sz w:val="22"/>
          <w:szCs w:val="22"/>
        </w:rPr>
        <w:t xml:space="preserve"> support the steam load requirements of the </w:t>
      </w:r>
      <w:r>
        <w:rPr>
          <w:sz w:val="22"/>
          <w:szCs w:val="22"/>
        </w:rPr>
        <w:t>UF</w:t>
      </w:r>
      <w:r w:rsidR="00792659">
        <w:rPr>
          <w:sz w:val="22"/>
          <w:szCs w:val="22"/>
        </w:rPr>
        <w:t xml:space="preserve"> when the combined cycle unit is not available</w:t>
      </w:r>
      <w:r w:rsidR="006475AA" w:rsidRPr="006475AA">
        <w:t xml:space="preserve"> </w:t>
      </w:r>
      <w:r w:rsidR="006475AA" w:rsidRPr="006475AA">
        <w:rPr>
          <w:sz w:val="22"/>
          <w:szCs w:val="22"/>
        </w:rPr>
        <w:t xml:space="preserve">and </w:t>
      </w:r>
      <w:r w:rsidR="006475AA">
        <w:rPr>
          <w:sz w:val="22"/>
          <w:szCs w:val="22"/>
        </w:rPr>
        <w:t xml:space="preserve">provide </w:t>
      </w:r>
      <w:r w:rsidR="006475AA" w:rsidRPr="006475AA">
        <w:rPr>
          <w:sz w:val="22"/>
          <w:szCs w:val="22"/>
        </w:rPr>
        <w:t>supplemental steam during periods of high steam demand</w:t>
      </w:r>
      <w:r w:rsidRPr="0011612D">
        <w:rPr>
          <w:sz w:val="22"/>
          <w:szCs w:val="22"/>
        </w:rPr>
        <w:t>.</w:t>
      </w:r>
      <w:r>
        <w:rPr>
          <w:sz w:val="22"/>
          <w:szCs w:val="22"/>
        </w:rPr>
        <w:t xml:space="preserve">  </w:t>
      </w:r>
      <w:r w:rsidRPr="0011612D">
        <w:rPr>
          <w:sz w:val="22"/>
          <w:szCs w:val="22"/>
        </w:rPr>
        <w:t>UF is planning to replace</w:t>
      </w:r>
      <w:r w:rsidR="00792659">
        <w:rPr>
          <w:sz w:val="22"/>
          <w:szCs w:val="22"/>
        </w:rPr>
        <w:t xml:space="preserve"> Backup Steam </w:t>
      </w:r>
      <w:r w:rsidRPr="0011612D">
        <w:rPr>
          <w:sz w:val="22"/>
          <w:szCs w:val="22"/>
        </w:rPr>
        <w:t>Boiler No. 4</w:t>
      </w:r>
      <w:r>
        <w:rPr>
          <w:sz w:val="22"/>
          <w:szCs w:val="22"/>
        </w:rPr>
        <w:t>,</w:t>
      </w:r>
      <w:r w:rsidRPr="0011612D">
        <w:rPr>
          <w:sz w:val="22"/>
          <w:szCs w:val="22"/>
        </w:rPr>
        <w:t xml:space="preserve"> </w:t>
      </w:r>
      <w:r>
        <w:rPr>
          <w:sz w:val="22"/>
          <w:szCs w:val="22"/>
        </w:rPr>
        <w:t xml:space="preserve">which is </w:t>
      </w:r>
      <w:r w:rsidRPr="0011612D">
        <w:rPr>
          <w:sz w:val="22"/>
          <w:szCs w:val="22"/>
        </w:rPr>
        <w:t>permitted at 69.6 million British thermal units per hour (MMBtu/hr)</w:t>
      </w:r>
      <w:r>
        <w:rPr>
          <w:sz w:val="22"/>
          <w:szCs w:val="22"/>
        </w:rPr>
        <w:t xml:space="preserve"> </w:t>
      </w:r>
      <w:r w:rsidRPr="0011612D">
        <w:rPr>
          <w:sz w:val="22"/>
          <w:szCs w:val="22"/>
        </w:rPr>
        <w:t>and 40,000 pounds per hour (lb/hr) of steam</w:t>
      </w:r>
      <w:r>
        <w:rPr>
          <w:sz w:val="22"/>
          <w:szCs w:val="22"/>
        </w:rPr>
        <w:t>,</w:t>
      </w:r>
      <w:r w:rsidRPr="0011612D">
        <w:rPr>
          <w:sz w:val="22"/>
          <w:szCs w:val="22"/>
        </w:rPr>
        <w:t xml:space="preserve"> with </w:t>
      </w:r>
      <w:r>
        <w:rPr>
          <w:sz w:val="22"/>
          <w:szCs w:val="22"/>
        </w:rPr>
        <w:t>the</w:t>
      </w:r>
      <w:r w:rsidRPr="0011612D">
        <w:rPr>
          <w:sz w:val="22"/>
          <w:szCs w:val="22"/>
        </w:rPr>
        <w:t xml:space="preserve"> new boiler</w:t>
      </w:r>
      <w:r w:rsidR="00792659">
        <w:rPr>
          <w:sz w:val="22"/>
          <w:szCs w:val="22"/>
        </w:rPr>
        <w:t xml:space="preserve"> (Backup Steam Boiler No. 6, EU 008)</w:t>
      </w:r>
      <w:r w:rsidRPr="0011612D">
        <w:rPr>
          <w:sz w:val="22"/>
          <w:szCs w:val="22"/>
        </w:rPr>
        <w:t xml:space="preserve"> with a heat input of 99.9 MMBtu/hr and</w:t>
      </w:r>
      <w:r>
        <w:rPr>
          <w:sz w:val="22"/>
          <w:szCs w:val="22"/>
        </w:rPr>
        <w:t xml:space="preserve"> </w:t>
      </w:r>
      <w:r w:rsidRPr="0011612D">
        <w:rPr>
          <w:sz w:val="22"/>
          <w:szCs w:val="22"/>
        </w:rPr>
        <w:t>capacity to produce approximately 78,500 lb/hr of steam.</w:t>
      </w:r>
      <w:r>
        <w:rPr>
          <w:sz w:val="22"/>
          <w:szCs w:val="22"/>
        </w:rPr>
        <w:t xml:space="preserve"> </w:t>
      </w:r>
      <w:r w:rsidRPr="0011612D">
        <w:rPr>
          <w:sz w:val="22"/>
          <w:szCs w:val="22"/>
        </w:rPr>
        <w:t xml:space="preserve"> UF will purchase and install the boiler, which is</w:t>
      </w:r>
      <w:r>
        <w:rPr>
          <w:sz w:val="22"/>
          <w:szCs w:val="22"/>
        </w:rPr>
        <w:t xml:space="preserve"> </w:t>
      </w:r>
      <w:r w:rsidRPr="0011612D">
        <w:rPr>
          <w:sz w:val="22"/>
          <w:szCs w:val="22"/>
        </w:rPr>
        <w:t>proposed to be a Cleaver Brooks Company model NB-300D-70</w:t>
      </w:r>
      <w:r w:rsidR="00792659">
        <w:rPr>
          <w:sz w:val="22"/>
          <w:szCs w:val="22"/>
        </w:rPr>
        <w:t xml:space="preserve"> or other vendor equivalent</w:t>
      </w:r>
      <w:r w:rsidRPr="0011612D">
        <w:rPr>
          <w:sz w:val="22"/>
          <w:szCs w:val="22"/>
        </w:rPr>
        <w:t>, and Duke Energy Florida (DEF) will</w:t>
      </w:r>
      <w:r>
        <w:rPr>
          <w:sz w:val="22"/>
          <w:szCs w:val="22"/>
        </w:rPr>
        <w:t xml:space="preserve"> </w:t>
      </w:r>
      <w:r w:rsidRPr="0011612D">
        <w:rPr>
          <w:sz w:val="22"/>
          <w:szCs w:val="22"/>
        </w:rPr>
        <w:t>operate the boiler.</w:t>
      </w:r>
    </w:p>
    <w:p w:rsidR="00AA49BE" w:rsidRPr="007A7739" w:rsidRDefault="00AA49BE" w:rsidP="00AA49BE">
      <w:pPr>
        <w:spacing w:after="60"/>
        <w:rPr>
          <w:sz w:val="22"/>
        </w:rPr>
      </w:pPr>
      <w:r>
        <w:rPr>
          <w:sz w:val="22"/>
        </w:rPr>
        <w:t>T</w:t>
      </w:r>
      <w:r w:rsidRPr="007A7739">
        <w:rPr>
          <w:sz w:val="22"/>
        </w:rPr>
        <w:t>he project consists of the following steps:</w:t>
      </w:r>
    </w:p>
    <w:p w:rsidR="00AA49BE" w:rsidRPr="007A7739" w:rsidRDefault="006475AA" w:rsidP="006475AA">
      <w:pPr>
        <w:pStyle w:val="ListParagraph"/>
        <w:numPr>
          <w:ilvl w:val="0"/>
          <w:numId w:val="16"/>
        </w:numPr>
        <w:spacing w:after="60"/>
        <w:ind w:left="360"/>
        <w:contextualSpacing w:val="0"/>
        <w:rPr>
          <w:sz w:val="22"/>
        </w:rPr>
      </w:pPr>
      <w:r w:rsidRPr="006475AA">
        <w:rPr>
          <w:sz w:val="22"/>
        </w:rPr>
        <w:t xml:space="preserve">Dismantlement/removal </w:t>
      </w:r>
      <w:r w:rsidR="00AA49BE" w:rsidRPr="007A7739">
        <w:rPr>
          <w:sz w:val="22"/>
        </w:rPr>
        <w:t xml:space="preserve">of existing </w:t>
      </w:r>
      <w:r w:rsidR="00792659">
        <w:rPr>
          <w:sz w:val="22"/>
        </w:rPr>
        <w:t xml:space="preserve">Backup Steam </w:t>
      </w:r>
      <w:r w:rsidR="00AA49BE" w:rsidRPr="007A7739">
        <w:rPr>
          <w:sz w:val="22"/>
        </w:rPr>
        <w:t>Boiler No. 4 in its entirety.</w:t>
      </w:r>
      <w:r w:rsidR="00AA49BE">
        <w:rPr>
          <w:sz w:val="22"/>
        </w:rPr>
        <w:t xml:space="preserve"> </w:t>
      </w:r>
      <w:r w:rsidR="00AA49BE" w:rsidRPr="007A7739">
        <w:rPr>
          <w:sz w:val="22"/>
        </w:rPr>
        <w:t xml:space="preserve"> Systems not included in the demolition will be protected and kept operable throughout</w:t>
      </w:r>
    </w:p>
    <w:p w:rsidR="00AA49BE" w:rsidRPr="007A7739" w:rsidRDefault="00AA49BE" w:rsidP="00AA49BE">
      <w:pPr>
        <w:pStyle w:val="ListParagraph"/>
        <w:numPr>
          <w:ilvl w:val="0"/>
          <w:numId w:val="16"/>
        </w:numPr>
        <w:spacing w:after="60"/>
        <w:ind w:left="360"/>
        <w:contextualSpacing w:val="0"/>
        <w:rPr>
          <w:sz w:val="22"/>
        </w:rPr>
      </w:pPr>
      <w:r w:rsidRPr="007A7739">
        <w:rPr>
          <w:sz w:val="22"/>
        </w:rPr>
        <w:t xml:space="preserve">Installation of a new 78,500 lb/hr packaged water-tube </w:t>
      </w:r>
      <w:r w:rsidR="00792659">
        <w:rPr>
          <w:sz w:val="22"/>
        </w:rPr>
        <w:t>Backup Steam Boiler No. 6</w:t>
      </w:r>
      <w:r w:rsidRPr="007A7739">
        <w:rPr>
          <w:sz w:val="22"/>
        </w:rPr>
        <w:t xml:space="preserve"> and economizer to replace </w:t>
      </w:r>
      <w:r w:rsidR="00792659">
        <w:rPr>
          <w:sz w:val="22"/>
        </w:rPr>
        <w:t xml:space="preserve">Backup Steam </w:t>
      </w:r>
      <w:r w:rsidRPr="007A7739">
        <w:rPr>
          <w:sz w:val="22"/>
        </w:rPr>
        <w:t>Boiler No. 4.</w:t>
      </w:r>
    </w:p>
    <w:p w:rsidR="00AA49BE" w:rsidRPr="007A7739" w:rsidRDefault="00AA49BE" w:rsidP="00AA49BE">
      <w:pPr>
        <w:pStyle w:val="ListParagraph"/>
        <w:numPr>
          <w:ilvl w:val="0"/>
          <w:numId w:val="16"/>
        </w:numPr>
        <w:spacing w:after="120"/>
        <w:ind w:left="360"/>
        <w:contextualSpacing w:val="0"/>
        <w:rPr>
          <w:sz w:val="22"/>
        </w:rPr>
      </w:pPr>
      <w:r w:rsidRPr="007A7739">
        <w:rPr>
          <w:sz w:val="22"/>
        </w:rPr>
        <w:lastRenderedPageBreak/>
        <w:t xml:space="preserve">Installation of all associated piping, appurtenances, and controls to make the new boiler fully functional. The controls system of the new boiler will be coordinated to be operated either locally or from the </w:t>
      </w:r>
      <w:r>
        <w:rPr>
          <w:sz w:val="22"/>
        </w:rPr>
        <w:t>UF</w:t>
      </w:r>
      <w:r w:rsidRPr="007A7739">
        <w:rPr>
          <w:sz w:val="22"/>
        </w:rPr>
        <w:t xml:space="preserve"> </w:t>
      </w:r>
      <w:r>
        <w:rPr>
          <w:sz w:val="22"/>
        </w:rPr>
        <w:t>CoGen</w:t>
      </w:r>
      <w:r w:rsidRPr="007A7739">
        <w:rPr>
          <w:sz w:val="22"/>
        </w:rPr>
        <w:t xml:space="preserve"> Plant.</w:t>
      </w:r>
    </w:p>
    <w:p w:rsidR="00BC6B5B" w:rsidRDefault="00AA49BE" w:rsidP="00AA49BE">
      <w:pPr>
        <w:autoSpaceDE w:val="0"/>
        <w:autoSpaceDN w:val="0"/>
        <w:adjustRightInd w:val="0"/>
        <w:spacing w:after="120"/>
        <w:rPr>
          <w:sz w:val="22"/>
          <w:szCs w:val="22"/>
        </w:rPr>
      </w:pPr>
      <w:r w:rsidRPr="007A7739">
        <w:rPr>
          <w:sz w:val="22"/>
          <w:szCs w:val="22"/>
        </w:rPr>
        <w:t>The current proposed construction schedule calls for the replacement boiler to be delivered to the facility</w:t>
      </w:r>
      <w:r>
        <w:rPr>
          <w:sz w:val="22"/>
          <w:szCs w:val="22"/>
        </w:rPr>
        <w:t xml:space="preserve"> </w:t>
      </w:r>
      <w:r w:rsidRPr="007A7739">
        <w:rPr>
          <w:sz w:val="22"/>
          <w:szCs w:val="22"/>
        </w:rPr>
        <w:t>on about April 2014, and installation and testing are expected to be completed by about September 2014.</w:t>
      </w:r>
    </w:p>
    <w:p w:rsidR="00CF158C" w:rsidRPr="00131643" w:rsidRDefault="00BC6B5B" w:rsidP="00CF158C">
      <w:pPr>
        <w:spacing w:after="120"/>
        <w:rPr>
          <w:sz w:val="22"/>
          <w:szCs w:val="22"/>
        </w:rPr>
      </w:pPr>
      <w:r w:rsidRPr="00BC6B5B">
        <w:rPr>
          <w:sz w:val="22"/>
          <w:szCs w:val="22"/>
        </w:rPr>
        <w:fldChar w:fldCharType="begin"/>
      </w:r>
      <w:r w:rsidRPr="00BC6B5B">
        <w:rPr>
          <w:sz w:val="22"/>
          <w:szCs w:val="22"/>
        </w:rPr>
        <w:instrText xml:space="preserve"> REF _Ref381686665 \h  \* MERGEFORMAT </w:instrText>
      </w:r>
      <w:r w:rsidRPr="00BC6B5B">
        <w:rPr>
          <w:sz w:val="22"/>
          <w:szCs w:val="22"/>
        </w:rPr>
      </w:r>
      <w:r w:rsidRPr="00BC6B5B">
        <w:rPr>
          <w:sz w:val="22"/>
          <w:szCs w:val="22"/>
        </w:rPr>
        <w:fldChar w:fldCharType="separate"/>
      </w:r>
      <w:r w:rsidRPr="00BC6B5B">
        <w:rPr>
          <w:b/>
          <w:color w:val="000000" w:themeColor="text1"/>
          <w:sz w:val="22"/>
          <w:szCs w:val="22"/>
        </w:rPr>
        <w:t xml:space="preserve">Table </w:t>
      </w:r>
      <w:r w:rsidRPr="00BC6B5B">
        <w:rPr>
          <w:b/>
          <w:noProof/>
          <w:color w:val="000000" w:themeColor="text1"/>
          <w:sz w:val="22"/>
          <w:szCs w:val="22"/>
        </w:rPr>
        <w:t>3</w:t>
      </w:r>
      <w:r w:rsidRPr="00BC6B5B">
        <w:rPr>
          <w:sz w:val="22"/>
          <w:szCs w:val="22"/>
        </w:rPr>
        <w:fldChar w:fldCharType="end"/>
      </w:r>
      <w:r w:rsidR="00CF158C" w:rsidRPr="00BC6B5B">
        <w:rPr>
          <w:sz w:val="22"/>
          <w:szCs w:val="22"/>
        </w:rPr>
        <w:t xml:space="preserve"> </w:t>
      </w:r>
      <w:r w:rsidR="00CF158C" w:rsidRPr="00131643">
        <w:rPr>
          <w:sz w:val="22"/>
          <w:szCs w:val="22"/>
        </w:rPr>
        <w:t xml:space="preserve">indicates the new emissions unit involved with the </w:t>
      </w:r>
      <w:r>
        <w:rPr>
          <w:sz w:val="22"/>
          <w:szCs w:val="22"/>
        </w:rPr>
        <w:t>UF CoGen Plant</w:t>
      </w:r>
      <w:r w:rsidR="004D5574">
        <w:rPr>
          <w:sz w:val="22"/>
          <w:szCs w:val="22"/>
        </w:rPr>
        <w:t xml:space="preserve"> boiler replacement</w:t>
      </w:r>
      <w:r w:rsidR="00CF158C" w:rsidRPr="00131643">
        <w:rPr>
          <w:sz w:val="22"/>
          <w:szCs w:val="22"/>
        </w:rPr>
        <w:t xml:space="preserve"> project.  </w:t>
      </w:r>
    </w:p>
    <w:p w:rsidR="00CF158C" w:rsidRPr="00BC6B5B" w:rsidRDefault="00CF158C" w:rsidP="00BC6B5B">
      <w:pPr>
        <w:pStyle w:val="Caption"/>
        <w:jc w:val="center"/>
        <w:rPr>
          <w:rFonts w:ascii="Times New Roman Bold" w:hAnsi="Times New Roman Bold"/>
          <w:b/>
          <w:i w:val="0"/>
          <w:caps/>
          <w:color w:val="000000" w:themeColor="text1"/>
          <w:sz w:val="22"/>
          <w:szCs w:val="22"/>
        </w:rPr>
      </w:pPr>
      <w:bookmarkStart w:id="7" w:name="_Ref381686665"/>
      <w:r w:rsidRPr="00BC6B5B">
        <w:rPr>
          <w:rFonts w:ascii="Times New Roman Bold" w:hAnsi="Times New Roman Bold"/>
          <w:b/>
          <w:i w:val="0"/>
          <w:caps/>
          <w:color w:val="000000" w:themeColor="text1"/>
          <w:sz w:val="22"/>
          <w:szCs w:val="22"/>
        </w:rPr>
        <w:t xml:space="preserve">Table </w:t>
      </w:r>
      <w:r w:rsidRPr="00BC6B5B">
        <w:rPr>
          <w:rFonts w:ascii="Times New Roman Bold" w:hAnsi="Times New Roman Bold"/>
          <w:b/>
          <w:i w:val="0"/>
          <w:caps/>
          <w:color w:val="000000" w:themeColor="text1"/>
          <w:sz w:val="22"/>
          <w:szCs w:val="22"/>
        </w:rPr>
        <w:fldChar w:fldCharType="begin"/>
      </w:r>
      <w:r w:rsidRPr="00BC6B5B">
        <w:rPr>
          <w:rFonts w:ascii="Times New Roman Bold" w:hAnsi="Times New Roman Bold"/>
          <w:b/>
          <w:i w:val="0"/>
          <w:caps/>
          <w:color w:val="000000" w:themeColor="text1"/>
          <w:sz w:val="22"/>
          <w:szCs w:val="22"/>
        </w:rPr>
        <w:instrText xml:space="preserve"> SEQ Table \* ARABIC </w:instrText>
      </w:r>
      <w:r w:rsidRPr="00BC6B5B">
        <w:rPr>
          <w:rFonts w:ascii="Times New Roman Bold" w:hAnsi="Times New Roman Bold"/>
          <w:b/>
          <w:i w:val="0"/>
          <w:caps/>
          <w:color w:val="000000" w:themeColor="text1"/>
          <w:sz w:val="22"/>
          <w:szCs w:val="22"/>
        </w:rPr>
        <w:fldChar w:fldCharType="separate"/>
      </w:r>
      <w:r w:rsidR="008A57F6">
        <w:rPr>
          <w:rFonts w:ascii="Times New Roman Bold" w:hAnsi="Times New Roman Bold"/>
          <w:b/>
          <w:i w:val="0"/>
          <w:caps/>
          <w:noProof/>
          <w:color w:val="000000" w:themeColor="text1"/>
          <w:sz w:val="22"/>
          <w:szCs w:val="22"/>
        </w:rPr>
        <w:t>3</w:t>
      </w:r>
      <w:r w:rsidRPr="00BC6B5B">
        <w:rPr>
          <w:rFonts w:ascii="Times New Roman Bold" w:hAnsi="Times New Roman Bold"/>
          <w:b/>
          <w:i w:val="0"/>
          <w:caps/>
          <w:color w:val="000000" w:themeColor="text1"/>
          <w:sz w:val="22"/>
          <w:szCs w:val="22"/>
        </w:rPr>
        <w:fldChar w:fldCharType="end"/>
      </w:r>
      <w:bookmarkEnd w:id="7"/>
      <w:r w:rsidRPr="00BC6B5B">
        <w:rPr>
          <w:rFonts w:ascii="Times New Roman Bold" w:hAnsi="Times New Roman Bold"/>
          <w:b/>
          <w:i w:val="0"/>
          <w:caps/>
          <w:color w:val="000000" w:themeColor="text1"/>
          <w:sz w:val="22"/>
          <w:szCs w:val="22"/>
        </w:rPr>
        <w:t xml:space="preserve">.  </w:t>
      </w:r>
      <w:r w:rsidR="00BC6B5B" w:rsidRPr="00BC6B5B">
        <w:rPr>
          <w:rFonts w:ascii="Times New Roman Bold" w:hAnsi="Times New Roman Bold"/>
          <w:b/>
          <w:i w:val="0"/>
          <w:caps/>
          <w:color w:val="000000" w:themeColor="text1"/>
          <w:sz w:val="22"/>
          <w:szCs w:val="22"/>
        </w:rPr>
        <w:t xml:space="preserve">List of new Emissions Unit for </w:t>
      </w:r>
      <w:r w:rsidR="00BC6B5B">
        <w:rPr>
          <w:rFonts w:ascii="Times New Roman Bold" w:hAnsi="Times New Roman Bold"/>
          <w:b/>
          <w:i w:val="0"/>
          <w:caps/>
          <w:color w:val="000000" w:themeColor="text1"/>
          <w:sz w:val="22"/>
          <w:szCs w:val="22"/>
        </w:rPr>
        <w:t xml:space="preserve">the UF cogen </w:t>
      </w:r>
      <w:r w:rsidR="006475AA">
        <w:rPr>
          <w:rFonts w:ascii="Times New Roman Bold" w:hAnsi="Times New Roman Bold"/>
          <w:b/>
          <w:i w:val="0"/>
          <w:caps/>
          <w:color w:val="000000" w:themeColor="text1"/>
          <w:sz w:val="22"/>
          <w:szCs w:val="22"/>
        </w:rPr>
        <w:t>PLANT</w:t>
      </w:r>
      <w:r w:rsidR="00BC6B5B" w:rsidRPr="00BC6B5B">
        <w:rPr>
          <w:rFonts w:ascii="Times New Roman Bold" w:hAnsi="Times New Roman Bold"/>
          <w:b/>
          <w:i w:val="0"/>
          <w:caps/>
          <w:color w:val="000000" w:themeColor="text1"/>
          <w:sz w:val="22"/>
          <w:szCs w:val="22"/>
        </w:rPr>
        <w:t xml:space="preserve"> Project.</w:t>
      </w:r>
    </w:p>
    <w:tbl>
      <w:tblPr>
        <w:tblW w:w="9358" w:type="dxa"/>
        <w:jc w:val="center"/>
        <w:tblBorders>
          <w:top w:val="single" w:sz="8" w:space="0" w:color="auto"/>
          <w:left w:val="single" w:sz="8" w:space="0" w:color="auto"/>
          <w:bottom w:val="single" w:sz="8" w:space="0" w:color="auto"/>
          <w:right w:val="single" w:sz="8" w:space="0" w:color="auto"/>
          <w:insideH w:val="single" w:sz="4" w:space="0" w:color="auto"/>
          <w:insideV w:val="single" w:sz="8" w:space="0" w:color="auto"/>
        </w:tblBorders>
        <w:tblCellMar>
          <w:top w:w="43" w:type="dxa"/>
          <w:left w:w="72" w:type="dxa"/>
          <w:bottom w:w="43" w:type="dxa"/>
          <w:right w:w="72" w:type="dxa"/>
        </w:tblCellMar>
        <w:tblLook w:val="01E0" w:firstRow="1" w:lastRow="1" w:firstColumn="1" w:lastColumn="1" w:noHBand="0" w:noVBand="0"/>
      </w:tblPr>
      <w:tblGrid>
        <w:gridCol w:w="1700"/>
        <w:gridCol w:w="7658"/>
      </w:tblGrid>
      <w:tr w:rsidR="00BC6B5B" w:rsidRPr="00BC6B5B" w:rsidTr="00EA49ED">
        <w:trPr>
          <w:jc w:val="center"/>
        </w:trPr>
        <w:tc>
          <w:tcPr>
            <w:tcW w:w="1700" w:type="dxa"/>
            <w:tcBorders>
              <w:top w:val="single" w:sz="8" w:space="0" w:color="auto"/>
              <w:bottom w:val="single" w:sz="8" w:space="0" w:color="auto"/>
            </w:tcBorders>
            <w:shd w:val="clear" w:color="auto" w:fill="BDD6EE" w:themeFill="accent1" w:themeFillTint="66"/>
          </w:tcPr>
          <w:p w:rsidR="00BC6B5B" w:rsidRPr="00BC6B5B" w:rsidRDefault="00BC6B5B" w:rsidP="002274FF">
            <w:pPr>
              <w:pStyle w:val="BodyText2"/>
              <w:widowControl w:val="0"/>
              <w:spacing w:after="0"/>
              <w:jc w:val="center"/>
              <w:rPr>
                <w:b/>
                <w:szCs w:val="22"/>
              </w:rPr>
            </w:pPr>
            <w:r w:rsidRPr="00BC6B5B">
              <w:rPr>
                <w:b/>
                <w:szCs w:val="22"/>
              </w:rPr>
              <w:t>New EU ID No.</w:t>
            </w:r>
          </w:p>
        </w:tc>
        <w:tc>
          <w:tcPr>
            <w:tcW w:w="7658" w:type="dxa"/>
            <w:tcBorders>
              <w:top w:val="single" w:sz="8" w:space="0" w:color="auto"/>
              <w:bottom w:val="single" w:sz="8" w:space="0" w:color="auto"/>
            </w:tcBorders>
            <w:shd w:val="clear" w:color="auto" w:fill="BDD6EE" w:themeFill="accent1" w:themeFillTint="66"/>
          </w:tcPr>
          <w:p w:rsidR="00BC6B5B" w:rsidRPr="00BC6B5B" w:rsidRDefault="00BC6B5B" w:rsidP="002274FF">
            <w:pPr>
              <w:pStyle w:val="BodyText2"/>
              <w:widowControl w:val="0"/>
              <w:tabs>
                <w:tab w:val="right" w:pos="9054"/>
              </w:tabs>
              <w:spacing w:after="0"/>
              <w:ind w:left="2834"/>
              <w:rPr>
                <w:b/>
                <w:szCs w:val="22"/>
              </w:rPr>
            </w:pPr>
            <w:r w:rsidRPr="00BC6B5B">
              <w:rPr>
                <w:b/>
                <w:szCs w:val="22"/>
              </w:rPr>
              <w:t>Description</w:t>
            </w:r>
          </w:p>
        </w:tc>
      </w:tr>
      <w:tr w:rsidR="00BC6B5B" w:rsidRPr="00BC6B5B" w:rsidTr="00BC6B5B">
        <w:trPr>
          <w:jc w:val="center"/>
        </w:trPr>
        <w:tc>
          <w:tcPr>
            <w:tcW w:w="1700" w:type="dxa"/>
            <w:tcBorders>
              <w:top w:val="single" w:sz="8" w:space="0" w:color="auto"/>
            </w:tcBorders>
            <w:vAlign w:val="center"/>
          </w:tcPr>
          <w:p w:rsidR="00BC6B5B" w:rsidRPr="00BC6B5B" w:rsidRDefault="00BC6B5B" w:rsidP="00BC6B5B">
            <w:pPr>
              <w:pStyle w:val="BodyText2"/>
              <w:widowControl w:val="0"/>
              <w:spacing w:after="0"/>
              <w:jc w:val="center"/>
              <w:rPr>
                <w:szCs w:val="22"/>
              </w:rPr>
            </w:pPr>
            <w:r w:rsidRPr="00BC6B5B">
              <w:rPr>
                <w:szCs w:val="22"/>
              </w:rPr>
              <w:t>008</w:t>
            </w:r>
          </w:p>
        </w:tc>
        <w:tc>
          <w:tcPr>
            <w:tcW w:w="7658" w:type="dxa"/>
            <w:tcBorders>
              <w:top w:val="single" w:sz="8" w:space="0" w:color="auto"/>
            </w:tcBorders>
          </w:tcPr>
          <w:p w:rsidR="00BC6B5B" w:rsidRDefault="00BC6B5B" w:rsidP="00792659">
            <w:pPr>
              <w:pStyle w:val="BodyText2"/>
              <w:widowControl w:val="0"/>
              <w:spacing w:after="0"/>
              <w:jc w:val="left"/>
              <w:rPr>
                <w:szCs w:val="22"/>
              </w:rPr>
            </w:pPr>
            <w:r>
              <w:rPr>
                <w:szCs w:val="22"/>
              </w:rPr>
              <w:t xml:space="preserve">New </w:t>
            </w:r>
            <w:r w:rsidR="00792659">
              <w:rPr>
                <w:szCs w:val="22"/>
              </w:rPr>
              <w:t>Back</w:t>
            </w:r>
            <w:r w:rsidR="006475AA">
              <w:rPr>
                <w:szCs w:val="22"/>
              </w:rPr>
              <w:t>up</w:t>
            </w:r>
            <w:r w:rsidR="00792659">
              <w:rPr>
                <w:szCs w:val="22"/>
              </w:rPr>
              <w:t xml:space="preserve"> S</w:t>
            </w:r>
            <w:r w:rsidRPr="0011612D">
              <w:rPr>
                <w:szCs w:val="22"/>
              </w:rPr>
              <w:t>team</w:t>
            </w:r>
            <w:r>
              <w:rPr>
                <w:szCs w:val="22"/>
              </w:rPr>
              <w:t xml:space="preserve"> Boiler</w:t>
            </w:r>
            <w:r w:rsidR="00792659">
              <w:rPr>
                <w:szCs w:val="22"/>
              </w:rPr>
              <w:t xml:space="preserve"> No. 6</w:t>
            </w:r>
          </w:p>
          <w:p w:rsidR="00792659" w:rsidRDefault="00792659" w:rsidP="00792659">
            <w:pPr>
              <w:pStyle w:val="BodyText2"/>
              <w:widowControl w:val="0"/>
              <w:numPr>
                <w:ilvl w:val="0"/>
                <w:numId w:val="21"/>
              </w:numPr>
              <w:spacing w:after="0"/>
              <w:jc w:val="left"/>
              <w:rPr>
                <w:szCs w:val="22"/>
              </w:rPr>
            </w:pPr>
            <w:r>
              <w:rPr>
                <w:szCs w:val="22"/>
              </w:rPr>
              <w:t>Heat Input:  99.9 MMBtu/hr</w:t>
            </w:r>
          </w:p>
          <w:p w:rsidR="00792659" w:rsidRPr="00BC6B5B" w:rsidRDefault="00792659" w:rsidP="00792659">
            <w:pPr>
              <w:pStyle w:val="BodyText2"/>
              <w:widowControl w:val="0"/>
              <w:numPr>
                <w:ilvl w:val="0"/>
                <w:numId w:val="21"/>
              </w:numPr>
              <w:spacing w:after="0"/>
              <w:jc w:val="left"/>
              <w:rPr>
                <w:szCs w:val="22"/>
              </w:rPr>
            </w:pPr>
            <w:r>
              <w:rPr>
                <w:szCs w:val="22"/>
              </w:rPr>
              <w:t>Steam Production:  7</w:t>
            </w:r>
            <w:r w:rsidRPr="0011612D">
              <w:rPr>
                <w:szCs w:val="22"/>
              </w:rPr>
              <w:t xml:space="preserve">8,500 lb/hr </w:t>
            </w:r>
          </w:p>
        </w:tc>
      </w:tr>
    </w:tbl>
    <w:p w:rsidR="00D262B1" w:rsidRPr="00AA49BE" w:rsidRDefault="00D262B1" w:rsidP="00AA49BE">
      <w:pPr>
        <w:pStyle w:val="ListParagraph"/>
        <w:numPr>
          <w:ilvl w:val="1"/>
          <w:numId w:val="15"/>
        </w:numPr>
        <w:spacing w:before="120" w:after="120"/>
        <w:ind w:left="720" w:hanging="720"/>
        <w:contextualSpacing w:val="0"/>
        <w:rPr>
          <w:rFonts w:ascii="Times New Roman Bold" w:hAnsi="Times New Roman Bold"/>
          <w:b/>
          <w:sz w:val="22"/>
          <w:szCs w:val="22"/>
        </w:rPr>
      </w:pPr>
      <w:r w:rsidRPr="00D262B1">
        <w:rPr>
          <w:b/>
          <w:sz w:val="22"/>
          <w:szCs w:val="22"/>
        </w:rPr>
        <w:t>Glossary of Common Terms</w:t>
      </w:r>
    </w:p>
    <w:p w:rsidR="00D262B1" w:rsidRPr="004D1D9F" w:rsidRDefault="00D262B1" w:rsidP="00D262B1">
      <w:pPr>
        <w:pStyle w:val="BodyText"/>
        <w:numPr>
          <w:ilvl w:val="12"/>
          <w:numId w:val="0"/>
        </w:numPr>
        <w:rPr>
          <w:sz w:val="22"/>
          <w:szCs w:val="22"/>
        </w:rPr>
      </w:pPr>
      <w:r w:rsidRPr="004D1D9F">
        <w:rPr>
          <w:sz w:val="22"/>
          <w:szCs w:val="22"/>
        </w:rPr>
        <w:t>Because of the technical nature of the project, the permit contains numerous acronyms and abbreviations, which are defined in Appendix A of this permit.</w:t>
      </w:r>
    </w:p>
    <w:p w:rsidR="001C4E37" w:rsidRPr="00AA49BE" w:rsidRDefault="001C4E37" w:rsidP="00AA49BE">
      <w:pPr>
        <w:pStyle w:val="ListParagraph"/>
        <w:numPr>
          <w:ilvl w:val="1"/>
          <w:numId w:val="15"/>
        </w:numPr>
        <w:spacing w:before="120" w:after="120"/>
        <w:ind w:left="720" w:hanging="720"/>
        <w:contextualSpacing w:val="0"/>
        <w:rPr>
          <w:rFonts w:ascii="Times New Roman Bold" w:hAnsi="Times New Roman Bold"/>
          <w:b/>
          <w:sz w:val="22"/>
          <w:szCs w:val="22"/>
        </w:rPr>
      </w:pPr>
      <w:r w:rsidRPr="00AA49BE">
        <w:rPr>
          <w:b/>
          <w:bCs/>
          <w:sz w:val="22"/>
          <w:szCs w:val="22"/>
        </w:rPr>
        <w:t>Processing Schedule</w:t>
      </w:r>
    </w:p>
    <w:p w:rsidR="001C4E37" w:rsidRPr="00782ABD" w:rsidRDefault="00AA49BE" w:rsidP="00CF158C">
      <w:pPr>
        <w:pStyle w:val="BodyText"/>
        <w:widowControl w:val="0"/>
        <w:numPr>
          <w:ilvl w:val="12"/>
          <w:numId w:val="0"/>
        </w:numPr>
        <w:tabs>
          <w:tab w:val="left" w:pos="2160"/>
        </w:tabs>
        <w:spacing w:after="60"/>
        <w:rPr>
          <w:sz w:val="22"/>
        </w:rPr>
      </w:pPr>
      <w:r>
        <w:rPr>
          <w:sz w:val="22"/>
        </w:rPr>
        <w:t>February 7</w:t>
      </w:r>
      <w:r w:rsidR="001C1E01">
        <w:rPr>
          <w:sz w:val="22"/>
        </w:rPr>
        <w:t>, 201</w:t>
      </w:r>
      <w:r>
        <w:rPr>
          <w:sz w:val="22"/>
        </w:rPr>
        <w:t>4</w:t>
      </w:r>
      <w:r w:rsidR="0005445E">
        <w:rPr>
          <w:sz w:val="22"/>
        </w:rPr>
        <w:t>:</w:t>
      </w:r>
      <w:r w:rsidR="001C1E01">
        <w:rPr>
          <w:sz w:val="22"/>
        </w:rPr>
        <w:tab/>
      </w:r>
      <w:r w:rsidR="001C4E37" w:rsidRPr="00782ABD">
        <w:rPr>
          <w:sz w:val="22"/>
        </w:rPr>
        <w:t>Received the application for a minor source air pollution construction permit.</w:t>
      </w:r>
    </w:p>
    <w:p w:rsidR="001C4E37" w:rsidRPr="00782ABD" w:rsidRDefault="00AA49BE" w:rsidP="00CF158C">
      <w:pPr>
        <w:pStyle w:val="BodyText"/>
        <w:widowControl w:val="0"/>
        <w:numPr>
          <w:ilvl w:val="12"/>
          <w:numId w:val="0"/>
        </w:numPr>
        <w:tabs>
          <w:tab w:val="left" w:pos="2160"/>
        </w:tabs>
        <w:spacing w:after="60"/>
        <w:rPr>
          <w:sz w:val="22"/>
        </w:rPr>
      </w:pPr>
      <w:r>
        <w:rPr>
          <w:sz w:val="22"/>
        </w:rPr>
        <w:t>February</w:t>
      </w:r>
      <w:r w:rsidR="005F19F5">
        <w:rPr>
          <w:sz w:val="22"/>
        </w:rPr>
        <w:t xml:space="preserve"> </w:t>
      </w:r>
      <w:r>
        <w:rPr>
          <w:sz w:val="22"/>
        </w:rPr>
        <w:t>10</w:t>
      </w:r>
      <w:r w:rsidR="005F19F5">
        <w:rPr>
          <w:sz w:val="22"/>
        </w:rPr>
        <w:t>, 201</w:t>
      </w:r>
      <w:r>
        <w:rPr>
          <w:sz w:val="22"/>
        </w:rPr>
        <w:t>4</w:t>
      </w:r>
      <w:r w:rsidR="0005445E">
        <w:rPr>
          <w:sz w:val="22"/>
        </w:rPr>
        <w:t>:</w:t>
      </w:r>
      <w:r w:rsidR="001C4E37" w:rsidRPr="00782ABD">
        <w:rPr>
          <w:sz w:val="22"/>
        </w:rPr>
        <w:tab/>
      </w:r>
      <w:r w:rsidR="000873CD">
        <w:rPr>
          <w:sz w:val="22"/>
        </w:rPr>
        <w:t>R</w:t>
      </w:r>
      <w:r w:rsidR="001C4E37" w:rsidRPr="00782ABD">
        <w:rPr>
          <w:sz w:val="22"/>
        </w:rPr>
        <w:t>equested additional information.</w:t>
      </w:r>
    </w:p>
    <w:p w:rsidR="001C4E37" w:rsidRDefault="006475AA" w:rsidP="00CF158C">
      <w:pPr>
        <w:pStyle w:val="BodyText"/>
        <w:widowControl w:val="0"/>
        <w:numPr>
          <w:ilvl w:val="12"/>
          <w:numId w:val="0"/>
        </w:numPr>
        <w:tabs>
          <w:tab w:val="left" w:pos="2160"/>
        </w:tabs>
        <w:spacing w:after="60"/>
        <w:rPr>
          <w:sz w:val="22"/>
        </w:rPr>
      </w:pPr>
      <w:r>
        <w:rPr>
          <w:sz w:val="22"/>
        </w:rPr>
        <w:t>April</w:t>
      </w:r>
      <w:r w:rsidR="00CF158C">
        <w:rPr>
          <w:sz w:val="22"/>
        </w:rPr>
        <w:t xml:space="preserve"> </w:t>
      </w:r>
      <w:r>
        <w:rPr>
          <w:sz w:val="22"/>
        </w:rPr>
        <w:t>15</w:t>
      </w:r>
      <w:r w:rsidR="00CF158C">
        <w:rPr>
          <w:sz w:val="22"/>
        </w:rPr>
        <w:t>, 2014</w:t>
      </w:r>
      <w:r w:rsidR="0005445E">
        <w:rPr>
          <w:sz w:val="22"/>
        </w:rPr>
        <w:t>:</w:t>
      </w:r>
      <w:r w:rsidR="00CF158C">
        <w:rPr>
          <w:sz w:val="22"/>
        </w:rPr>
        <w:tab/>
      </w:r>
      <w:r w:rsidR="000873CD">
        <w:rPr>
          <w:sz w:val="22"/>
        </w:rPr>
        <w:t>R</w:t>
      </w:r>
      <w:r w:rsidR="001C4E37" w:rsidRPr="00782ABD">
        <w:rPr>
          <w:sz w:val="22"/>
        </w:rPr>
        <w:t>eceived additional information; application complete.</w:t>
      </w:r>
    </w:p>
    <w:p w:rsidR="007E66CA" w:rsidRDefault="006475AA" w:rsidP="007E66CA">
      <w:pPr>
        <w:pStyle w:val="BodyText"/>
        <w:widowControl w:val="0"/>
        <w:numPr>
          <w:ilvl w:val="12"/>
          <w:numId w:val="0"/>
        </w:numPr>
        <w:ind w:left="2160" w:hanging="2160"/>
        <w:rPr>
          <w:sz w:val="22"/>
        </w:rPr>
      </w:pPr>
      <w:r w:rsidRPr="006475AA">
        <w:rPr>
          <w:sz w:val="22"/>
        </w:rPr>
        <w:t>April 2</w:t>
      </w:r>
      <w:r w:rsidR="000C2D88">
        <w:rPr>
          <w:sz w:val="22"/>
        </w:rPr>
        <w:t>2</w:t>
      </w:r>
      <w:r w:rsidR="0047167B" w:rsidRPr="006475AA">
        <w:rPr>
          <w:sz w:val="22"/>
        </w:rPr>
        <w:t>, 201</w:t>
      </w:r>
      <w:r w:rsidRPr="006475AA">
        <w:rPr>
          <w:sz w:val="22"/>
        </w:rPr>
        <w:t>4</w:t>
      </w:r>
      <w:r w:rsidR="0005445E" w:rsidRPr="006475AA">
        <w:rPr>
          <w:sz w:val="22"/>
        </w:rPr>
        <w:t>:</w:t>
      </w:r>
      <w:r w:rsidR="007E66CA">
        <w:rPr>
          <w:sz w:val="22"/>
        </w:rPr>
        <w:tab/>
        <w:t>Draft permit package issued.</w:t>
      </w:r>
    </w:p>
    <w:p w:rsidR="00193F10" w:rsidRDefault="00D51D78" w:rsidP="00EA49ED">
      <w:pPr>
        <w:pStyle w:val="ListParagraph"/>
        <w:numPr>
          <w:ilvl w:val="0"/>
          <w:numId w:val="14"/>
        </w:numPr>
        <w:spacing w:after="120"/>
        <w:ind w:left="720" w:hanging="720"/>
        <w:contextualSpacing w:val="0"/>
        <w:rPr>
          <w:b/>
          <w:caps/>
          <w:sz w:val="22"/>
        </w:rPr>
      </w:pPr>
      <w:r>
        <w:rPr>
          <w:b/>
          <w:caps/>
          <w:sz w:val="22"/>
        </w:rPr>
        <w:t>PSD Applicability</w:t>
      </w:r>
    </w:p>
    <w:p w:rsidR="00D51D78" w:rsidRPr="00EA49ED" w:rsidRDefault="00D51D78" w:rsidP="00EA49ED">
      <w:pPr>
        <w:pStyle w:val="ListParagraph"/>
        <w:numPr>
          <w:ilvl w:val="1"/>
          <w:numId w:val="14"/>
        </w:numPr>
        <w:spacing w:after="120"/>
        <w:ind w:left="720" w:hanging="720"/>
        <w:contextualSpacing w:val="0"/>
        <w:rPr>
          <w:b/>
          <w:caps/>
          <w:sz w:val="22"/>
        </w:rPr>
      </w:pPr>
      <w:r w:rsidRPr="00193F10">
        <w:rPr>
          <w:b/>
          <w:sz w:val="22"/>
        </w:rPr>
        <w:t xml:space="preserve">General </w:t>
      </w:r>
      <w:r>
        <w:rPr>
          <w:b/>
          <w:sz w:val="22"/>
        </w:rPr>
        <w:t xml:space="preserve">PSD </w:t>
      </w:r>
      <w:r w:rsidRPr="00193F10">
        <w:rPr>
          <w:b/>
          <w:sz w:val="22"/>
        </w:rPr>
        <w:t>Applicability</w:t>
      </w:r>
    </w:p>
    <w:p w:rsidR="00EA49ED" w:rsidRDefault="00EA49ED" w:rsidP="00EA49ED">
      <w:pPr>
        <w:widowControl w:val="0"/>
        <w:spacing w:after="120"/>
        <w:rPr>
          <w:rFonts w:eastAsia="Calibri"/>
          <w:sz w:val="22"/>
          <w:szCs w:val="22"/>
        </w:rPr>
      </w:pPr>
      <w:r w:rsidRPr="005C0768">
        <w:rPr>
          <w:rFonts w:eastAsia="Calibri"/>
          <w:sz w:val="22"/>
          <w:szCs w:val="22"/>
        </w:rPr>
        <w:t xml:space="preserve">The Department regulates major stationary sources in accordance with Florida’s PSD program pursuant to Rule 62-212.400, F.A.C.  PSD preconstruction review is required in areas that are currently in attainment with the state and federal </w:t>
      </w:r>
      <w:r>
        <w:rPr>
          <w:rFonts w:eastAsia="Calibri"/>
          <w:sz w:val="22"/>
          <w:szCs w:val="22"/>
        </w:rPr>
        <w:t>ambient air quality standards (</w:t>
      </w:r>
      <w:r w:rsidRPr="005C0768">
        <w:rPr>
          <w:rFonts w:eastAsia="Calibri"/>
          <w:sz w:val="22"/>
          <w:szCs w:val="22"/>
        </w:rPr>
        <w:t>AAQS</w:t>
      </w:r>
      <w:r>
        <w:rPr>
          <w:rFonts w:eastAsia="Calibri"/>
          <w:sz w:val="22"/>
          <w:szCs w:val="22"/>
        </w:rPr>
        <w:t>)</w:t>
      </w:r>
      <w:r w:rsidRPr="005C0768">
        <w:rPr>
          <w:rFonts w:eastAsia="Calibri"/>
          <w:sz w:val="22"/>
          <w:szCs w:val="22"/>
        </w:rPr>
        <w:t xml:space="preserve"> or areas designated as “unclassifiable” for these regulated pollutants.  </w:t>
      </w:r>
      <w:r>
        <w:rPr>
          <w:rFonts w:eastAsia="Calibri"/>
          <w:sz w:val="22"/>
          <w:szCs w:val="22"/>
        </w:rPr>
        <w:t xml:space="preserve">Commonly addressed </w:t>
      </w:r>
      <w:r w:rsidRPr="005C0768">
        <w:rPr>
          <w:rFonts w:eastAsia="Calibri"/>
          <w:sz w:val="22"/>
          <w:szCs w:val="22"/>
        </w:rPr>
        <w:t xml:space="preserve">PSD pollutants </w:t>
      </w:r>
      <w:r>
        <w:rPr>
          <w:rFonts w:eastAsia="Calibri"/>
          <w:sz w:val="22"/>
          <w:szCs w:val="22"/>
        </w:rPr>
        <w:t xml:space="preserve">in the power industry </w:t>
      </w:r>
      <w:r w:rsidRPr="005C0768">
        <w:rPr>
          <w:rFonts w:eastAsia="Calibri"/>
          <w:sz w:val="22"/>
          <w:szCs w:val="22"/>
        </w:rPr>
        <w:t xml:space="preserve">include: </w:t>
      </w:r>
      <w:r>
        <w:rPr>
          <w:rFonts w:eastAsia="Calibri"/>
          <w:sz w:val="22"/>
          <w:szCs w:val="22"/>
        </w:rPr>
        <w:t>carbon monoxide (</w:t>
      </w:r>
      <w:r w:rsidRPr="005C0768">
        <w:rPr>
          <w:rFonts w:eastAsia="Calibri"/>
          <w:sz w:val="22"/>
          <w:szCs w:val="22"/>
        </w:rPr>
        <w:t>CO</w:t>
      </w:r>
      <w:r>
        <w:rPr>
          <w:rFonts w:eastAsia="Calibri"/>
          <w:sz w:val="22"/>
          <w:szCs w:val="22"/>
        </w:rPr>
        <w:t>),</w:t>
      </w:r>
      <w:r w:rsidRPr="005C0768">
        <w:rPr>
          <w:rFonts w:eastAsia="Calibri"/>
          <w:sz w:val="22"/>
          <w:szCs w:val="22"/>
        </w:rPr>
        <w:t xml:space="preserve"> NO</w:t>
      </w:r>
      <w:r w:rsidRPr="007B78BD">
        <w:rPr>
          <w:rFonts w:eastAsia="Calibri"/>
          <w:sz w:val="22"/>
          <w:szCs w:val="22"/>
          <w:vertAlign w:val="subscript"/>
        </w:rPr>
        <w:t>X</w:t>
      </w:r>
      <w:r>
        <w:rPr>
          <w:rFonts w:eastAsia="Calibri"/>
          <w:sz w:val="22"/>
          <w:szCs w:val="22"/>
        </w:rPr>
        <w:t>, particulate matter (PM),</w:t>
      </w:r>
      <w:r w:rsidRPr="005C0768">
        <w:rPr>
          <w:rFonts w:eastAsia="Calibri"/>
          <w:sz w:val="22"/>
          <w:szCs w:val="22"/>
        </w:rPr>
        <w:t xml:space="preserve"> </w:t>
      </w:r>
      <w:r>
        <w:rPr>
          <w:rFonts w:eastAsia="Calibri"/>
          <w:sz w:val="22"/>
          <w:szCs w:val="22"/>
        </w:rPr>
        <w:t>PM with a mean diameter of 10 microns or less (</w:t>
      </w:r>
      <w:r w:rsidRPr="005C0768">
        <w:rPr>
          <w:rFonts w:eastAsia="Calibri"/>
          <w:sz w:val="22"/>
          <w:szCs w:val="22"/>
        </w:rPr>
        <w:t>PM</w:t>
      </w:r>
      <w:r w:rsidRPr="00DB5285">
        <w:rPr>
          <w:rFonts w:eastAsia="Calibri"/>
          <w:sz w:val="22"/>
          <w:szCs w:val="22"/>
          <w:vertAlign w:val="subscript"/>
        </w:rPr>
        <w:t>10</w:t>
      </w:r>
      <w:r>
        <w:rPr>
          <w:rFonts w:eastAsia="Calibri"/>
          <w:sz w:val="22"/>
          <w:szCs w:val="22"/>
        </w:rPr>
        <w:t>),</w:t>
      </w:r>
      <w:r w:rsidRPr="005C0768">
        <w:rPr>
          <w:rFonts w:eastAsia="Calibri"/>
          <w:sz w:val="22"/>
          <w:szCs w:val="22"/>
        </w:rPr>
        <w:t xml:space="preserve"> </w:t>
      </w:r>
      <w:r>
        <w:rPr>
          <w:rFonts w:eastAsia="Calibri"/>
          <w:sz w:val="22"/>
          <w:szCs w:val="22"/>
        </w:rPr>
        <w:t>PM with a mean diameter of 2.5 microns or less (</w:t>
      </w:r>
      <w:r w:rsidRPr="005C0768">
        <w:rPr>
          <w:rFonts w:eastAsia="Calibri"/>
          <w:sz w:val="22"/>
          <w:szCs w:val="22"/>
        </w:rPr>
        <w:t>PM</w:t>
      </w:r>
      <w:r>
        <w:rPr>
          <w:rFonts w:eastAsia="Calibri"/>
          <w:sz w:val="22"/>
          <w:szCs w:val="22"/>
          <w:vertAlign w:val="subscript"/>
        </w:rPr>
        <w:t>2.5</w:t>
      </w:r>
      <w:r>
        <w:rPr>
          <w:rFonts w:eastAsia="Calibri"/>
          <w:sz w:val="22"/>
          <w:szCs w:val="22"/>
        </w:rPr>
        <w:t>), sulfur dioxide (SO</w:t>
      </w:r>
      <w:r w:rsidRPr="00CC5837">
        <w:rPr>
          <w:rFonts w:eastAsia="Calibri"/>
          <w:sz w:val="22"/>
          <w:szCs w:val="22"/>
          <w:vertAlign w:val="subscript"/>
        </w:rPr>
        <w:t>2</w:t>
      </w:r>
      <w:r>
        <w:rPr>
          <w:rFonts w:eastAsia="Calibri"/>
          <w:sz w:val="22"/>
          <w:szCs w:val="22"/>
        </w:rPr>
        <w:t xml:space="preserve">), </w:t>
      </w:r>
      <w:r w:rsidRPr="005C0768">
        <w:rPr>
          <w:rFonts w:eastAsia="Calibri"/>
          <w:sz w:val="22"/>
          <w:szCs w:val="22"/>
        </w:rPr>
        <w:t>volatil</w:t>
      </w:r>
      <w:r>
        <w:rPr>
          <w:rFonts w:eastAsia="Calibri"/>
          <w:sz w:val="22"/>
          <w:szCs w:val="22"/>
        </w:rPr>
        <w:t>e organic compounds (VOC), lead (Pb),</w:t>
      </w:r>
      <w:r w:rsidRPr="005C0768">
        <w:rPr>
          <w:rFonts w:eastAsia="Calibri"/>
          <w:sz w:val="22"/>
          <w:szCs w:val="22"/>
        </w:rPr>
        <w:t xml:space="preserve"> </w:t>
      </w:r>
      <w:r>
        <w:rPr>
          <w:rFonts w:eastAsia="Calibri"/>
          <w:sz w:val="22"/>
          <w:szCs w:val="22"/>
        </w:rPr>
        <w:t>f</w:t>
      </w:r>
      <w:r w:rsidRPr="005C0768">
        <w:rPr>
          <w:rFonts w:eastAsia="Calibri"/>
          <w:sz w:val="22"/>
          <w:szCs w:val="22"/>
        </w:rPr>
        <w:t>luorides</w:t>
      </w:r>
      <w:r>
        <w:rPr>
          <w:rFonts w:eastAsia="Calibri"/>
          <w:sz w:val="22"/>
          <w:szCs w:val="22"/>
        </w:rPr>
        <w:t xml:space="preserve"> (F),</w:t>
      </w:r>
      <w:r w:rsidRPr="005C0768">
        <w:rPr>
          <w:rFonts w:eastAsia="Calibri"/>
          <w:sz w:val="22"/>
          <w:szCs w:val="22"/>
        </w:rPr>
        <w:t xml:space="preserve"> sulfuric acid mist (SAM)</w:t>
      </w:r>
      <w:r>
        <w:rPr>
          <w:rFonts w:eastAsia="Calibri"/>
          <w:sz w:val="22"/>
          <w:szCs w:val="22"/>
        </w:rPr>
        <w:t xml:space="preserve">, and mercury (Hg).  </w:t>
      </w:r>
    </w:p>
    <w:p w:rsidR="00EA49ED" w:rsidRPr="004E4744" w:rsidRDefault="00EA49ED" w:rsidP="00EA49ED">
      <w:pPr>
        <w:widowControl w:val="0"/>
        <w:spacing w:after="120"/>
        <w:rPr>
          <w:rFonts w:eastAsia="Calibri"/>
          <w:sz w:val="22"/>
          <w:szCs w:val="22"/>
        </w:rPr>
      </w:pPr>
      <w:r>
        <w:rPr>
          <w:rFonts w:eastAsia="Calibri"/>
          <w:sz w:val="22"/>
          <w:szCs w:val="22"/>
        </w:rPr>
        <w:t>Additional PSD pollutants that are more common to certain other industries include:</w:t>
      </w:r>
      <w:r w:rsidRPr="005C0768">
        <w:rPr>
          <w:rFonts w:eastAsia="Calibri"/>
          <w:sz w:val="22"/>
          <w:szCs w:val="22"/>
        </w:rPr>
        <w:t xml:space="preserve"> </w:t>
      </w:r>
      <w:r>
        <w:rPr>
          <w:rFonts w:eastAsia="Calibri"/>
          <w:sz w:val="22"/>
          <w:szCs w:val="22"/>
        </w:rPr>
        <w:t>hydrogen sulfide (</w:t>
      </w:r>
      <w:r w:rsidRPr="005C0768">
        <w:rPr>
          <w:rFonts w:eastAsia="Calibri"/>
          <w:sz w:val="22"/>
          <w:szCs w:val="22"/>
        </w:rPr>
        <w:t>H</w:t>
      </w:r>
      <w:r w:rsidRPr="007B78BD">
        <w:rPr>
          <w:rFonts w:eastAsia="Calibri"/>
          <w:sz w:val="22"/>
          <w:szCs w:val="22"/>
          <w:vertAlign w:val="subscript"/>
        </w:rPr>
        <w:t>2</w:t>
      </w:r>
      <w:r w:rsidRPr="005C0768">
        <w:rPr>
          <w:rFonts w:eastAsia="Calibri"/>
          <w:sz w:val="22"/>
          <w:szCs w:val="22"/>
        </w:rPr>
        <w:t>S</w:t>
      </w:r>
      <w:r>
        <w:rPr>
          <w:rFonts w:eastAsia="Calibri"/>
          <w:sz w:val="22"/>
          <w:szCs w:val="22"/>
        </w:rPr>
        <w:t xml:space="preserve">), </w:t>
      </w:r>
      <w:r w:rsidR="006475AA">
        <w:rPr>
          <w:rFonts w:eastAsia="Calibri"/>
          <w:sz w:val="22"/>
          <w:szCs w:val="22"/>
        </w:rPr>
        <w:t>total educed sulfur (</w:t>
      </w:r>
      <w:r w:rsidRPr="005C0768">
        <w:rPr>
          <w:rFonts w:eastAsia="Calibri"/>
          <w:sz w:val="22"/>
          <w:szCs w:val="22"/>
        </w:rPr>
        <w:t>TRS</w:t>
      </w:r>
      <w:r w:rsidR="006475AA">
        <w:rPr>
          <w:rFonts w:eastAsia="Calibri"/>
          <w:sz w:val="22"/>
          <w:szCs w:val="22"/>
        </w:rPr>
        <w:t>)</w:t>
      </w:r>
      <w:r w:rsidRPr="005C0768">
        <w:rPr>
          <w:rFonts w:eastAsia="Calibri"/>
          <w:sz w:val="22"/>
          <w:szCs w:val="22"/>
        </w:rPr>
        <w:t xml:space="preserve"> including H</w:t>
      </w:r>
      <w:r w:rsidRPr="007B78BD">
        <w:rPr>
          <w:rFonts w:eastAsia="Calibri"/>
          <w:sz w:val="22"/>
          <w:szCs w:val="22"/>
          <w:vertAlign w:val="subscript"/>
        </w:rPr>
        <w:t>2</w:t>
      </w:r>
      <w:r w:rsidRPr="005C0768">
        <w:rPr>
          <w:rFonts w:eastAsia="Calibri"/>
          <w:sz w:val="22"/>
          <w:szCs w:val="22"/>
        </w:rPr>
        <w:t>S</w:t>
      </w:r>
      <w:r>
        <w:rPr>
          <w:rFonts w:eastAsia="Calibri"/>
          <w:sz w:val="22"/>
          <w:szCs w:val="22"/>
        </w:rPr>
        <w:t>, reduced sulfur compounds (RSC) including H</w:t>
      </w:r>
      <w:r w:rsidRPr="00F81267">
        <w:rPr>
          <w:rFonts w:eastAsia="Calibri"/>
          <w:sz w:val="22"/>
          <w:szCs w:val="22"/>
          <w:vertAlign w:val="subscript"/>
        </w:rPr>
        <w:t>2</w:t>
      </w:r>
      <w:r>
        <w:rPr>
          <w:rFonts w:eastAsia="Calibri"/>
          <w:sz w:val="22"/>
          <w:szCs w:val="22"/>
        </w:rPr>
        <w:t>S, municipal waste combustor (</w:t>
      </w:r>
      <w:r w:rsidRPr="005C0768">
        <w:rPr>
          <w:rFonts w:eastAsia="Calibri"/>
          <w:sz w:val="22"/>
          <w:szCs w:val="22"/>
        </w:rPr>
        <w:t>MWC</w:t>
      </w:r>
      <w:r>
        <w:rPr>
          <w:rFonts w:eastAsia="Calibri"/>
          <w:sz w:val="22"/>
          <w:szCs w:val="22"/>
        </w:rPr>
        <w:t>)</w:t>
      </w:r>
      <w:r w:rsidRPr="005C0768">
        <w:rPr>
          <w:rFonts w:eastAsia="Calibri"/>
          <w:sz w:val="22"/>
          <w:szCs w:val="22"/>
        </w:rPr>
        <w:t xml:space="preserve"> organics measured as total tetra- through octa-chlorinated dibenzo-p-dioxins and dibenzofurans (</w:t>
      </w:r>
      <w:r>
        <w:rPr>
          <w:rFonts w:eastAsia="Calibri"/>
          <w:sz w:val="22"/>
          <w:szCs w:val="22"/>
        </w:rPr>
        <w:t xml:space="preserve">dioxin/furan), </w:t>
      </w:r>
      <w:r w:rsidRPr="005C0768">
        <w:rPr>
          <w:rFonts w:eastAsia="Calibri"/>
          <w:sz w:val="22"/>
          <w:szCs w:val="22"/>
        </w:rPr>
        <w:t xml:space="preserve">MWC metals measured as PM; MWC acid gases </w:t>
      </w:r>
      <w:r w:rsidRPr="004E4744">
        <w:rPr>
          <w:rFonts w:eastAsia="Calibri"/>
          <w:sz w:val="22"/>
          <w:szCs w:val="22"/>
        </w:rPr>
        <w:t>measured as SO</w:t>
      </w:r>
      <w:r w:rsidRPr="004E4744">
        <w:rPr>
          <w:rFonts w:eastAsia="Calibri"/>
          <w:sz w:val="22"/>
          <w:szCs w:val="22"/>
          <w:vertAlign w:val="subscript"/>
        </w:rPr>
        <w:t>2</w:t>
      </w:r>
      <w:r w:rsidRPr="004E4744">
        <w:rPr>
          <w:rFonts w:eastAsia="Calibri"/>
          <w:sz w:val="22"/>
          <w:szCs w:val="22"/>
        </w:rPr>
        <w:t xml:space="preserve"> and HCl, </w:t>
      </w:r>
      <w:r>
        <w:rPr>
          <w:rFonts w:eastAsia="Calibri"/>
          <w:sz w:val="22"/>
          <w:szCs w:val="22"/>
        </w:rPr>
        <w:t xml:space="preserve">and </w:t>
      </w:r>
      <w:r w:rsidRPr="004E4744">
        <w:rPr>
          <w:sz w:val="22"/>
          <w:szCs w:val="22"/>
        </w:rPr>
        <w:t>MSW landfill emissions as non-</w:t>
      </w:r>
      <w:r>
        <w:rPr>
          <w:sz w:val="22"/>
          <w:szCs w:val="22"/>
        </w:rPr>
        <w:t>methane organic compounds (NMOC)</w:t>
      </w:r>
      <w:r w:rsidRPr="004E4744">
        <w:rPr>
          <w:rFonts w:eastAsia="Calibri"/>
          <w:sz w:val="22"/>
          <w:szCs w:val="22"/>
        </w:rPr>
        <w:t xml:space="preserve">.  </w:t>
      </w:r>
    </w:p>
    <w:p w:rsidR="00EA49ED" w:rsidRDefault="00EA49ED" w:rsidP="00EA49ED">
      <w:pPr>
        <w:pStyle w:val="Default"/>
        <w:spacing w:after="60"/>
        <w:rPr>
          <w:sz w:val="22"/>
          <w:szCs w:val="22"/>
        </w:rPr>
      </w:pPr>
      <w:r w:rsidRPr="005C0768">
        <w:rPr>
          <w:rFonts w:eastAsia="Calibri"/>
          <w:sz w:val="22"/>
          <w:szCs w:val="22"/>
        </w:rPr>
        <w:t>As defined in Rule 62-210.200(1</w:t>
      </w:r>
      <w:r>
        <w:rPr>
          <w:rFonts w:eastAsia="Calibri"/>
          <w:sz w:val="22"/>
          <w:szCs w:val="22"/>
        </w:rPr>
        <w:t>8</w:t>
      </w:r>
      <w:r w:rsidRPr="005C0768">
        <w:rPr>
          <w:rFonts w:eastAsia="Calibri"/>
          <w:sz w:val="22"/>
          <w:szCs w:val="22"/>
        </w:rPr>
        <w:t xml:space="preserve">9)(a)1, F.A.C., </w:t>
      </w:r>
      <w:r>
        <w:rPr>
          <w:sz w:val="22"/>
          <w:szCs w:val="22"/>
        </w:rPr>
        <w:t>a stationary source is a “major stationary source” (major PSD source) if it emits or has the potential to emit (PTE):</w:t>
      </w:r>
    </w:p>
    <w:p w:rsidR="00EA49ED" w:rsidRPr="00D94522" w:rsidRDefault="00EA49ED" w:rsidP="00EA49ED">
      <w:pPr>
        <w:pStyle w:val="Default"/>
        <w:numPr>
          <w:ilvl w:val="0"/>
          <w:numId w:val="18"/>
        </w:numPr>
        <w:spacing w:after="60"/>
        <w:ind w:left="360"/>
        <w:rPr>
          <w:rFonts w:eastAsia="Calibri"/>
          <w:sz w:val="22"/>
          <w:szCs w:val="22"/>
        </w:rPr>
      </w:pPr>
      <w:r>
        <w:rPr>
          <w:sz w:val="22"/>
          <w:szCs w:val="22"/>
        </w:rPr>
        <w:t xml:space="preserve">250 tons per year (TPY) or more of any PSD pollutant; </w:t>
      </w:r>
      <w:r w:rsidRPr="00AF28AC">
        <w:rPr>
          <w:sz w:val="22"/>
          <w:szCs w:val="22"/>
          <w:u w:val="single"/>
        </w:rPr>
        <w:t>or</w:t>
      </w:r>
      <w:r>
        <w:rPr>
          <w:sz w:val="22"/>
          <w:szCs w:val="22"/>
        </w:rPr>
        <w:t xml:space="preserve"> </w:t>
      </w:r>
    </w:p>
    <w:p w:rsidR="00EA49ED" w:rsidRDefault="00EA49ED" w:rsidP="00EA49ED">
      <w:pPr>
        <w:pStyle w:val="Default"/>
        <w:numPr>
          <w:ilvl w:val="0"/>
          <w:numId w:val="18"/>
        </w:numPr>
        <w:spacing w:after="120"/>
        <w:ind w:left="360"/>
        <w:rPr>
          <w:rFonts w:eastAsia="Calibri"/>
          <w:sz w:val="22"/>
          <w:szCs w:val="22"/>
        </w:rPr>
      </w:pPr>
      <w:r>
        <w:rPr>
          <w:sz w:val="22"/>
          <w:szCs w:val="22"/>
        </w:rPr>
        <w:t xml:space="preserve">100 TPY or more of any PSD pollutant </w:t>
      </w:r>
      <w:r w:rsidRPr="00AF28AC">
        <w:rPr>
          <w:sz w:val="22"/>
          <w:szCs w:val="22"/>
          <w:u w:val="single"/>
        </w:rPr>
        <w:t>and</w:t>
      </w:r>
      <w:r>
        <w:rPr>
          <w:sz w:val="22"/>
          <w:szCs w:val="22"/>
        </w:rPr>
        <w:t xml:space="preserve"> the facility belongs to one of the 28 listed PSD major facility categories.  </w:t>
      </w:r>
    </w:p>
    <w:p w:rsidR="00EA49ED" w:rsidRDefault="00EA49ED" w:rsidP="00EA49ED">
      <w:pPr>
        <w:widowControl w:val="0"/>
        <w:spacing w:after="120"/>
        <w:rPr>
          <w:rFonts w:eastAsia="Calibri"/>
          <w:sz w:val="22"/>
          <w:szCs w:val="22"/>
        </w:rPr>
      </w:pPr>
      <w:r w:rsidRPr="00B81C9A">
        <w:rPr>
          <w:rFonts w:eastAsia="Calibri"/>
          <w:sz w:val="22"/>
          <w:szCs w:val="22"/>
        </w:rPr>
        <w:t xml:space="preserve">The list given in the citation includes the category of “fossil fuel-fired steam electric plants of more than 250 million British thermal units per hour heat input”.  </w:t>
      </w:r>
      <w:r w:rsidR="00632387">
        <w:rPr>
          <w:rFonts w:eastAsia="Calibri"/>
          <w:sz w:val="22"/>
          <w:szCs w:val="22"/>
        </w:rPr>
        <w:t>T</w:t>
      </w:r>
      <w:r w:rsidR="00522F01">
        <w:rPr>
          <w:rFonts w:eastAsia="Calibri"/>
          <w:sz w:val="22"/>
          <w:szCs w:val="22"/>
        </w:rPr>
        <w:t xml:space="preserve">his </w:t>
      </w:r>
      <w:r w:rsidRPr="00B81C9A">
        <w:rPr>
          <w:rFonts w:eastAsia="Calibri"/>
          <w:sz w:val="22"/>
          <w:szCs w:val="22"/>
        </w:rPr>
        <w:t xml:space="preserve">category applies to the </w:t>
      </w:r>
      <w:r w:rsidR="004D5574">
        <w:rPr>
          <w:rFonts w:eastAsia="Calibri"/>
          <w:sz w:val="22"/>
          <w:szCs w:val="22"/>
        </w:rPr>
        <w:t>UF CoGen</w:t>
      </w:r>
      <w:r>
        <w:rPr>
          <w:rFonts w:eastAsia="Calibri"/>
          <w:sz w:val="22"/>
          <w:szCs w:val="22"/>
        </w:rPr>
        <w:t xml:space="preserve"> Plant</w:t>
      </w:r>
      <w:r w:rsidRPr="00B81C9A">
        <w:rPr>
          <w:rFonts w:eastAsia="Calibri"/>
          <w:sz w:val="22"/>
          <w:szCs w:val="22"/>
        </w:rPr>
        <w:t xml:space="preserve"> before and after the proposed project.  The </w:t>
      </w:r>
      <w:r w:rsidR="004D5574">
        <w:rPr>
          <w:rFonts w:eastAsia="Calibri"/>
          <w:sz w:val="22"/>
          <w:szCs w:val="22"/>
        </w:rPr>
        <w:t>UF CoGen</w:t>
      </w:r>
      <w:r>
        <w:rPr>
          <w:rFonts w:eastAsia="Calibri"/>
          <w:sz w:val="22"/>
          <w:szCs w:val="22"/>
        </w:rPr>
        <w:t xml:space="preserve"> Plant </w:t>
      </w:r>
      <w:r w:rsidRPr="00B81C9A">
        <w:rPr>
          <w:rFonts w:eastAsia="Calibri"/>
          <w:sz w:val="22"/>
          <w:szCs w:val="22"/>
        </w:rPr>
        <w:t xml:space="preserve">is a major stationary source based on actual emissions of and potential </w:t>
      </w:r>
      <w:r w:rsidRPr="00B81C9A">
        <w:rPr>
          <w:rFonts w:eastAsia="Calibri"/>
          <w:sz w:val="22"/>
          <w:szCs w:val="22"/>
        </w:rPr>
        <w:lastRenderedPageBreak/>
        <w:t xml:space="preserve">to emit </w:t>
      </w:r>
      <w:r>
        <w:rPr>
          <w:rFonts w:eastAsia="Calibri"/>
          <w:sz w:val="22"/>
          <w:szCs w:val="22"/>
        </w:rPr>
        <w:t>100</w:t>
      </w:r>
      <w:r w:rsidRPr="00B81C9A">
        <w:rPr>
          <w:rFonts w:eastAsia="Calibri"/>
          <w:sz w:val="22"/>
          <w:szCs w:val="22"/>
        </w:rPr>
        <w:t xml:space="preserve"> </w:t>
      </w:r>
      <w:r>
        <w:rPr>
          <w:rFonts w:eastAsia="Calibri"/>
          <w:sz w:val="22"/>
          <w:szCs w:val="22"/>
        </w:rPr>
        <w:t>TPY</w:t>
      </w:r>
      <w:r w:rsidRPr="00B81C9A">
        <w:rPr>
          <w:rFonts w:eastAsia="Calibri"/>
          <w:sz w:val="22"/>
          <w:szCs w:val="22"/>
        </w:rPr>
        <w:t xml:space="preserve"> or more of several individual PSD pollutants.</w:t>
      </w:r>
      <w:r w:rsidRPr="005C0768">
        <w:rPr>
          <w:rFonts w:eastAsia="Calibri"/>
          <w:sz w:val="22"/>
          <w:szCs w:val="22"/>
        </w:rPr>
        <w:t xml:space="preserve">  </w:t>
      </w:r>
    </w:p>
    <w:p w:rsidR="00EA49ED" w:rsidRPr="005C0768" w:rsidRDefault="00EA49ED" w:rsidP="00EA49ED">
      <w:pPr>
        <w:widowControl w:val="0"/>
        <w:spacing w:after="120"/>
        <w:rPr>
          <w:rFonts w:eastAsia="Calibri"/>
          <w:sz w:val="22"/>
          <w:szCs w:val="22"/>
        </w:rPr>
      </w:pPr>
      <w:r w:rsidRPr="005C0768">
        <w:rPr>
          <w:rFonts w:eastAsia="Calibri"/>
          <w:sz w:val="22"/>
          <w:szCs w:val="22"/>
        </w:rPr>
        <w:t>For major stationary sources</w:t>
      </w:r>
      <w:r>
        <w:rPr>
          <w:rFonts w:eastAsia="Calibri"/>
          <w:sz w:val="22"/>
          <w:szCs w:val="22"/>
        </w:rPr>
        <w:t xml:space="preserve"> such as the </w:t>
      </w:r>
      <w:r w:rsidR="004D5574">
        <w:rPr>
          <w:rFonts w:eastAsia="Calibri"/>
          <w:sz w:val="22"/>
          <w:szCs w:val="22"/>
        </w:rPr>
        <w:t>UF CoGen</w:t>
      </w:r>
      <w:r>
        <w:rPr>
          <w:rFonts w:eastAsia="Calibri"/>
          <w:sz w:val="22"/>
          <w:szCs w:val="22"/>
        </w:rPr>
        <w:t xml:space="preserve"> Plant</w:t>
      </w:r>
      <w:r w:rsidRPr="005C0768">
        <w:rPr>
          <w:rFonts w:eastAsia="Calibri"/>
          <w:sz w:val="22"/>
          <w:szCs w:val="22"/>
        </w:rPr>
        <w:t xml:space="preserve">, PSD applicability </w:t>
      </w:r>
      <w:r>
        <w:rPr>
          <w:rFonts w:eastAsia="Calibri"/>
          <w:sz w:val="22"/>
          <w:szCs w:val="22"/>
        </w:rPr>
        <w:t xml:space="preserve">for modification projects </w:t>
      </w:r>
      <w:r w:rsidRPr="005C0768">
        <w:rPr>
          <w:rFonts w:eastAsia="Calibri"/>
          <w:sz w:val="22"/>
          <w:szCs w:val="22"/>
        </w:rPr>
        <w:t>is based on thresholds known as the significant emission rates (SER</w:t>
      </w:r>
      <w:r>
        <w:rPr>
          <w:rFonts w:eastAsia="Calibri"/>
          <w:sz w:val="22"/>
          <w:szCs w:val="22"/>
        </w:rPr>
        <w:t xml:space="preserve">) as defined in Rule 62-210.200(274), </w:t>
      </w:r>
      <w:r w:rsidRPr="005C0768">
        <w:rPr>
          <w:rFonts w:eastAsia="Calibri"/>
          <w:sz w:val="22"/>
          <w:szCs w:val="22"/>
        </w:rPr>
        <w:t xml:space="preserve">F.A.C.  </w:t>
      </w:r>
      <w:r>
        <w:rPr>
          <w:rFonts w:eastAsia="Calibri"/>
          <w:sz w:val="22"/>
          <w:szCs w:val="22"/>
        </w:rPr>
        <w:t>Any “net e</w:t>
      </w:r>
      <w:r w:rsidRPr="005C0768">
        <w:rPr>
          <w:rFonts w:eastAsia="Calibri"/>
          <w:sz w:val="22"/>
          <w:szCs w:val="22"/>
        </w:rPr>
        <w:t xml:space="preserve">missions </w:t>
      </w:r>
      <w:r>
        <w:rPr>
          <w:rFonts w:eastAsia="Calibri"/>
          <w:sz w:val="22"/>
          <w:szCs w:val="22"/>
        </w:rPr>
        <w:t xml:space="preserve">increase” as defined in Rule 62-210.200(204), F.A.C. </w:t>
      </w:r>
      <w:r w:rsidRPr="005C0768">
        <w:rPr>
          <w:rFonts w:eastAsia="Calibri"/>
          <w:sz w:val="22"/>
          <w:szCs w:val="22"/>
        </w:rPr>
        <w:t xml:space="preserve">of </w:t>
      </w:r>
      <w:r>
        <w:rPr>
          <w:rFonts w:eastAsia="Calibri"/>
          <w:sz w:val="22"/>
          <w:szCs w:val="22"/>
        </w:rPr>
        <w:t xml:space="preserve">a </w:t>
      </w:r>
      <w:r w:rsidRPr="005C0768">
        <w:rPr>
          <w:rFonts w:eastAsia="Calibri"/>
          <w:sz w:val="22"/>
          <w:szCs w:val="22"/>
        </w:rPr>
        <w:t>PSD pollutant from the project that equal</w:t>
      </w:r>
      <w:r>
        <w:rPr>
          <w:rFonts w:eastAsia="Calibri"/>
          <w:sz w:val="22"/>
          <w:szCs w:val="22"/>
        </w:rPr>
        <w:t>s</w:t>
      </w:r>
      <w:r w:rsidRPr="005C0768">
        <w:rPr>
          <w:rFonts w:eastAsia="Calibri"/>
          <w:sz w:val="22"/>
          <w:szCs w:val="22"/>
        </w:rPr>
        <w:t xml:space="preserve"> or exceed</w:t>
      </w:r>
      <w:r>
        <w:rPr>
          <w:rFonts w:eastAsia="Calibri"/>
          <w:sz w:val="22"/>
          <w:szCs w:val="22"/>
        </w:rPr>
        <w:t>s</w:t>
      </w:r>
      <w:r w:rsidRPr="005C0768">
        <w:rPr>
          <w:rFonts w:eastAsia="Calibri"/>
          <w:sz w:val="22"/>
          <w:szCs w:val="22"/>
        </w:rPr>
        <w:t xml:space="preserve"> the</w:t>
      </w:r>
      <w:r>
        <w:rPr>
          <w:rFonts w:eastAsia="Calibri"/>
          <w:sz w:val="22"/>
          <w:szCs w:val="22"/>
        </w:rPr>
        <w:t xml:space="preserve"> respective </w:t>
      </w:r>
      <w:r w:rsidRPr="005C0768">
        <w:rPr>
          <w:rFonts w:eastAsia="Calibri"/>
          <w:sz w:val="22"/>
          <w:szCs w:val="22"/>
        </w:rPr>
        <w:t xml:space="preserve">SER </w:t>
      </w:r>
      <w:r>
        <w:rPr>
          <w:rFonts w:eastAsia="Calibri"/>
          <w:sz w:val="22"/>
          <w:szCs w:val="22"/>
        </w:rPr>
        <w:t xml:space="preserve">is </w:t>
      </w:r>
      <w:r w:rsidRPr="005C0768">
        <w:rPr>
          <w:rFonts w:eastAsia="Calibri"/>
          <w:sz w:val="22"/>
          <w:szCs w:val="22"/>
        </w:rPr>
        <w:t>considered “significant”.  SER also means any emissions rate or any net emissions increase of a PSD pollutant associated with a major stationary source or major modification which would construct within 10 k</w:t>
      </w:r>
      <w:r>
        <w:rPr>
          <w:rFonts w:eastAsia="Calibri"/>
          <w:sz w:val="22"/>
          <w:szCs w:val="22"/>
        </w:rPr>
        <w:t>m</w:t>
      </w:r>
      <w:r w:rsidRPr="005C0768">
        <w:rPr>
          <w:rFonts w:eastAsia="Calibri"/>
          <w:sz w:val="22"/>
          <w:szCs w:val="22"/>
        </w:rPr>
        <w:t xml:space="preserve"> of a Class I area and have an impact on such area equal to or greater than 1 gram per cubic meter, 24-hour average.  </w:t>
      </w:r>
    </w:p>
    <w:p w:rsidR="00EA49ED" w:rsidRDefault="00EA49ED" w:rsidP="00EA49ED">
      <w:pPr>
        <w:pStyle w:val="BodyText"/>
        <w:widowControl w:val="0"/>
        <w:rPr>
          <w:sz w:val="22"/>
        </w:rPr>
      </w:pPr>
      <w:r w:rsidRPr="005C0768">
        <w:rPr>
          <w:rFonts w:eastAsia="Calibri"/>
          <w:sz w:val="22"/>
          <w:szCs w:val="22"/>
        </w:rPr>
        <w:t xml:space="preserve">Although a facility may be “major” </w:t>
      </w:r>
      <w:r>
        <w:rPr>
          <w:rFonts w:eastAsia="Calibri"/>
          <w:sz w:val="22"/>
          <w:szCs w:val="22"/>
        </w:rPr>
        <w:t xml:space="preserve">(i.e. emits or has the potential to emit 100 or 250 TPY as applicable) </w:t>
      </w:r>
      <w:r w:rsidRPr="005C0768">
        <w:rPr>
          <w:rFonts w:eastAsia="Calibri"/>
          <w:sz w:val="22"/>
          <w:szCs w:val="22"/>
        </w:rPr>
        <w:t xml:space="preserve">for only one PSD pollutant, a project must include BACT controls for any PSD pollutant that exceeds the corresponding </w:t>
      </w:r>
      <w:r>
        <w:rPr>
          <w:rFonts w:eastAsia="Calibri"/>
          <w:sz w:val="22"/>
          <w:szCs w:val="22"/>
        </w:rPr>
        <w:t xml:space="preserve">SER </w:t>
      </w:r>
      <w:r w:rsidRPr="005C0768">
        <w:rPr>
          <w:rFonts w:eastAsia="Calibri"/>
          <w:sz w:val="22"/>
          <w:szCs w:val="22"/>
        </w:rPr>
        <w:t xml:space="preserve">given </w:t>
      </w:r>
      <w:r w:rsidRPr="00714AC0">
        <w:rPr>
          <w:rFonts w:eastAsia="Calibri"/>
          <w:sz w:val="22"/>
          <w:szCs w:val="22"/>
        </w:rPr>
        <w:t>in</w:t>
      </w:r>
      <w:r w:rsidR="002274FF">
        <w:rPr>
          <w:rFonts w:eastAsia="Calibri"/>
          <w:sz w:val="22"/>
          <w:szCs w:val="22"/>
        </w:rPr>
        <w:t xml:space="preserve"> </w:t>
      </w:r>
      <w:r w:rsidR="002274FF" w:rsidRPr="002274FF">
        <w:rPr>
          <w:rFonts w:eastAsia="Calibri"/>
          <w:sz w:val="22"/>
          <w:szCs w:val="22"/>
        </w:rPr>
        <w:fldChar w:fldCharType="begin"/>
      </w:r>
      <w:r w:rsidR="002274FF" w:rsidRPr="002274FF">
        <w:rPr>
          <w:rFonts w:eastAsia="Calibri"/>
          <w:sz w:val="22"/>
          <w:szCs w:val="22"/>
        </w:rPr>
        <w:instrText xml:space="preserve"> REF _Ref381687909 \h  \* MERGEFORMAT </w:instrText>
      </w:r>
      <w:r w:rsidR="002274FF" w:rsidRPr="002274FF">
        <w:rPr>
          <w:rFonts w:eastAsia="Calibri"/>
          <w:sz w:val="22"/>
          <w:szCs w:val="22"/>
        </w:rPr>
      </w:r>
      <w:r w:rsidR="002274FF" w:rsidRPr="002274FF">
        <w:rPr>
          <w:rFonts w:eastAsia="Calibri"/>
          <w:sz w:val="22"/>
          <w:szCs w:val="22"/>
        </w:rPr>
        <w:fldChar w:fldCharType="separate"/>
      </w:r>
      <w:r w:rsidR="002274FF" w:rsidRPr="002274FF">
        <w:rPr>
          <w:b/>
          <w:color w:val="000000" w:themeColor="text1"/>
          <w:sz w:val="22"/>
          <w:szCs w:val="22"/>
        </w:rPr>
        <w:t xml:space="preserve">Table </w:t>
      </w:r>
      <w:r w:rsidR="002274FF" w:rsidRPr="002274FF">
        <w:rPr>
          <w:b/>
          <w:noProof/>
          <w:color w:val="000000" w:themeColor="text1"/>
          <w:sz w:val="22"/>
          <w:szCs w:val="22"/>
        </w:rPr>
        <w:t>4</w:t>
      </w:r>
      <w:r w:rsidR="002274FF" w:rsidRPr="002274FF">
        <w:rPr>
          <w:rFonts w:eastAsia="Calibri"/>
          <w:sz w:val="22"/>
          <w:szCs w:val="22"/>
        </w:rPr>
        <w:fldChar w:fldCharType="end"/>
      </w:r>
      <w:r w:rsidR="002274FF" w:rsidRPr="002274FF">
        <w:rPr>
          <w:rFonts w:eastAsia="Calibri"/>
          <w:sz w:val="22"/>
          <w:szCs w:val="22"/>
        </w:rPr>
        <w:t>.</w:t>
      </w:r>
    </w:p>
    <w:p w:rsidR="00EA49ED" w:rsidRDefault="002274FF" w:rsidP="00B66F12">
      <w:pPr>
        <w:pStyle w:val="BodyText"/>
        <w:widowControl w:val="0"/>
        <w:rPr>
          <w:sz w:val="22"/>
        </w:rPr>
      </w:pPr>
      <w:r w:rsidRPr="002274FF">
        <w:rPr>
          <w:sz w:val="22"/>
        </w:rPr>
        <w:t>According to 40 CFR 52.21, six greenhouse gases (GHG), are also subject to regulation at new stationary sources that will emit or have the potential to emit 100,000 TPY expressed as the carbon dioxide equivalent emissions (CO</w:t>
      </w:r>
      <w:r w:rsidRPr="002274FF">
        <w:rPr>
          <w:sz w:val="22"/>
          <w:vertAlign w:val="subscript"/>
        </w:rPr>
        <w:t>2</w:t>
      </w:r>
      <w:r w:rsidRPr="002274FF">
        <w:rPr>
          <w:sz w:val="22"/>
        </w:rPr>
        <w:t>e).  The PSD SER for CO</w:t>
      </w:r>
      <w:r w:rsidRPr="002274FF">
        <w:rPr>
          <w:sz w:val="22"/>
          <w:vertAlign w:val="subscript"/>
        </w:rPr>
        <w:t>2</w:t>
      </w:r>
      <w:r w:rsidRPr="002274FF">
        <w:rPr>
          <w:sz w:val="22"/>
        </w:rPr>
        <w:t xml:space="preserve">e is 75,000 TPY.  This requirement has not been incorporated into Department rules but is a separate requirement of the EPA.  </w:t>
      </w:r>
    </w:p>
    <w:p w:rsidR="00EA49ED" w:rsidRPr="002274FF" w:rsidRDefault="002274FF" w:rsidP="002274FF">
      <w:pPr>
        <w:pStyle w:val="Caption"/>
        <w:jc w:val="center"/>
        <w:rPr>
          <w:rFonts w:ascii="Times New Roman Bold" w:hAnsi="Times New Roman Bold"/>
          <w:b/>
          <w:i w:val="0"/>
          <w:caps/>
          <w:color w:val="000000" w:themeColor="text1"/>
          <w:sz w:val="22"/>
          <w:szCs w:val="22"/>
        </w:rPr>
      </w:pPr>
      <w:bookmarkStart w:id="8" w:name="_Ref381687909"/>
      <w:r w:rsidRPr="002274FF">
        <w:rPr>
          <w:rFonts w:ascii="Times New Roman Bold" w:hAnsi="Times New Roman Bold"/>
          <w:b/>
          <w:i w:val="0"/>
          <w:caps/>
          <w:color w:val="000000" w:themeColor="text1"/>
          <w:sz w:val="22"/>
          <w:szCs w:val="22"/>
        </w:rPr>
        <w:t xml:space="preserve">Table </w:t>
      </w:r>
      <w:r w:rsidRPr="002274FF">
        <w:rPr>
          <w:rFonts w:ascii="Times New Roman Bold" w:hAnsi="Times New Roman Bold"/>
          <w:b/>
          <w:i w:val="0"/>
          <w:caps/>
          <w:color w:val="000000" w:themeColor="text1"/>
          <w:sz w:val="22"/>
          <w:szCs w:val="22"/>
        </w:rPr>
        <w:fldChar w:fldCharType="begin"/>
      </w:r>
      <w:r w:rsidRPr="002274FF">
        <w:rPr>
          <w:rFonts w:ascii="Times New Roman Bold" w:hAnsi="Times New Roman Bold"/>
          <w:b/>
          <w:i w:val="0"/>
          <w:caps/>
          <w:color w:val="000000" w:themeColor="text1"/>
          <w:sz w:val="22"/>
          <w:szCs w:val="22"/>
        </w:rPr>
        <w:instrText xml:space="preserve"> SEQ Table \* ARABIC </w:instrText>
      </w:r>
      <w:r w:rsidRPr="002274FF">
        <w:rPr>
          <w:rFonts w:ascii="Times New Roman Bold" w:hAnsi="Times New Roman Bold"/>
          <w:b/>
          <w:i w:val="0"/>
          <w:caps/>
          <w:color w:val="000000" w:themeColor="text1"/>
          <w:sz w:val="22"/>
          <w:szCs w:val="22"/>
        </w:rPr>
        <w:fldChar w:fldCharType="separate"/>
      </w:r>
      <w:r w:rsidR="008A57F6">
        <w:rPr>
          <w:rFonts w:ascii="Times New Roman Bold" w:hAnsi="Times New Roman Bold"/>
          <w:b/>
          <w:i w:val="0"/>
          <w:caps/>
          <w:noProof/>
          <w:color w:val="000000" w:themeColor="text1"/>
          <w:sz w:val="22"/>
          <w:szCs w:val="22"/>
        </w:rPr>
        <w:t>4</w:t>
      </w:r>
      <w:r w:rsidRPr="002274FF">
        <w:rPr>
          <w:rFonts w:ascii="Times New Roman Bold" w:hAnsi="Times New Roman Bold"/>
          <w:b/>
          <w:i w:val="0"/>
          <w:caps/>
          <w:color w:val="000000" w:themeColor="text1"/>
          <w:sz w:val="22"/>
          <w:szCs w:val="22"/>
        </w:rPr>
        <w:fldChar w:fldCharType="end"/>
      </w:r>
      <w:bookmarkEnd w:id="8"/>
      <w:r>
        <w:rPr>
          <w:rFonts w:ascii="Times New Roman Bold" w:hAnsi="Times New Roman Bold"/>
          <w:b/>
          <w:i w:val="0"/>
          <w:caps/>
          <w:color w:val="000000" w:themeColor="text1"/>
          <w:sz w:val="22"/>
          <w:szCs w:val="22"/>
        </w:rPr>
        <w:t xml:space="preserve">.  </w:t>
      </w:r>
      <w:r w:rsidRPr="002274FF">
        <w:rPr>
          <w:rFonts w:ascii="Times New Roman Bold" w:hAnsi="Times New Roman Bold"/>
          <w:b/>
          <w:i w:val="0"/>
          <w:caps/>
          <w:color w:val="000000" w:themeColor="text1"/>
          <w:sz w:val="22"/>
          <w:szCs w:val="22"/>
        </w:rPr>
        <w:t xml:space="preserve">List of SER by PSD-Pollutant. </w:t>
      </w:r>
      <w:r w:rsidRPr="002274FF">
        <w:rPr>
          <w:rFonts w:ascii="Times New Roman Bold" w:hAnsi="Times New Roman Bold"/>
          <w:b/>
          <w:i w:val="0"/>
          <w:caps/>
          <w:color w:val="000000" w:themeColor="text1"/>
          <w:sz w:val="22"/>
          <w:szCs w:val="22"/>
          <w:vertAlign w:val="superscript"/>
        </w:rPr>
        <w:t>1</w:t>
      </w:r>
    </w:p>
    <w:tbl>
      <w:tblPr>
        <w:tblW w:w="9291" w:type="dxa"/>
        <w:tblInd w:w="345"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2160"/>
        <w:gridCol w:w="2367"/>
        <w:gridCol w:w="2067"/>
        <w:gridCol w:w="2697"/>
      </w:tblGrid>
      <w:tr w:rsidR="002274FF" w:rsidRPr="005C0768" w:rsidTr="002274FF">
        <w:trPr>
          <w:trHeight w:val="290"/>
        </w:trPr>
        <w:tc>
          <w:tcPr>
            <w:tcW w:w="2160" w:type="dxa"/>
            <w:tcBorders>
              <w:top w:val="single" w:sz="12" w:space="0" w:color="auto"/>
              <w:left w:val="single" w:sz="12" w:space="0" w:color="auto"/>
              <w:bottom w:val="single" w:sz="4" w:space="0" w:color="auto"/>
              <w:right w:val="single" w:sz="4" w:space="0" w:color="auto"/>
            </w:tcBorders>
            <w:shd w:val="clear" w:color="auto" w:fill="C6D9F1"/>
            <w:vAlign w:val="center"/>
            <w:hideMark/>
          </w:tcPr>
          <w:p w:rsidR="002274FF" w:rsidRPr="002274FF" w:rsidRDefault="002274FF" w:rsidP="002274FF">
            <w:pPr>
              <w:autoSpaceDE w:val="0"/>
              <w:autoSpaceDN w:val="0"/>
              <w:adjustRightInd w:val="0"/>
              <w:spacing w:before="20" w:after="20"/>
              <w:jc w:val="center"/>
              <w:rPr>
                <w:b/>
                <w:color w:val="000000"/>
                <w:sz w:val="22"/>
                <w:szCs w:val="22"/>
              </w:rPr>
            </w:pPr>
            <w:r w:rsidRPr="002274FF">
              <w:rPr>
                <w:b/>
                <w:color w:val="000000"/>
                <w:sz w:val="22"/>
                <w:szCs w:val="22"/>
              </w:rPr>
              <w:t>Pollutant</w:t>
            </w:r>
          </w:p>
        </w:tc>
        <w:tc>
          <w:tcPr>
            <w:tcW w:w="2367" w:type="dxa"/>
            <w:tcBorders>
              <w:top w:val="single" w:sz="12" w:space="0" w:color="auto"/>
              <w:left w:val="single" w:sz="4" w:space="0" w:color="auto"/>
              <w:bottom w:val="single" w:sz="4" w:space="0" w:color="auto"/>
              <w:right w:val="single" w:sz="4" w:space="0" w:color="auto"/>
            </w:tcBorders>
            <w:shd w:val="clear" w:color="auto" w:fill="C6D9F1"/>
            <w:vAlign w:val="center"/>
            <w:hideMark/>
          </w:tcPr>
          <w:p w:rsidR="002274FF" w:rsidRPr="002274FF" w:rsidRDefault="002274FF" w:rsidP="002274FF">
            <w:pPr>
              <w:autoSpaceDE w:val="0"/>
              <w:autoSpaceDN w:val="0"/>
              <w:adjustRightInd w:val="0"/>
              <w:spacing w:before="20" w:after="20"/>
              <w:jc w:val="center"/>
              <w:rPr>
                <w:b/>
                <w:color w:val="000000"/>
                <w:sz w:val="22"/>
                <w:szCs w:val="22"/>
              </w:rPr>
            </w:pPr>
            <w:r w:rsidRPr="002274FF">
              <w:rPr>
                <w:b/>
                <w:color w:val="000000"/>
                <w:sz w:val="22"/>
                <w:szCs w:val="22"/>
              </w:rPr>
              <w:t>SER (TPY)</w:t>
            </w:r>
          </w:p>
        </w:tc>
        <w:tc>
          <w:tcPr>
            <w:tcW w:w="2067" w:type="dxa"/>
            <w:tcBorders>
              <w:top w:val="single" w:sz="12" w:space="0" w:color="auto"/>
              <w:left w:val="single" w:sz="4" w:space="0" w:color="auto"/>
              <w:bottom w:val="single" w:sz="4" w:space="0" w:color="auto"/>
              <w:right w:val="single" w:sz="4" w:space="0" w:color="auto"/>
            </w:tcBorders>
            <w:shd w:val="clear" w:color="auto" w:fill="C6D9F1"/>
            <w:vAlign w:val="center"/>
            <w:hideMark/>
          </w:tcPr>
          <w:p w:rsidR="002274FF" w:rsidRPr="002274FF" w:rsidRDefault="002274FF" w:rsidP="002274FF">
            <w:pPr>
              <w:autoSpaceDE w:val="0"/>
              <w:autoSpaceDN w:val="0"/>
              <w:adjustRightInd w:val="0"/>
              <w:spacing w:before="20" w:after="20"/>
              <w:jc w:val="center"/>
              <w:rPr>
                <w:b/>
                <w:color w:val="000000"/>
                <w:sz w:val="22"/>
                <w:szCs w:val="22"/>
              </w:rPr>
            </w:pPr>
            <w:r w:rsidRPr="002274FF">
              <w:rPr>
                <w:b/>
                <w:color w:val="000000"/>
                <w:sz w:val="22"/>
                <w:szCs w:val="22"/>
              </w:rPr>
              <w:t>Pollutant</w:t>
            </w:r>
          </w:p>
        </w:tc>
        <w:tc>
          <w:tcPr>
            <w:tcW w:w="2697" w:type="dxa"/>
            <w:tcBorders>
              <w:top w:val="single" w:sz="12" w:space="0" w:color="auto"/>
              <w:left w:val="single" w:sz="4" w:space="0" w:color="auto"/>
              <w:bottom w:val="single" w:sz="4" w:space="0" w:color="auto"/>
              <w:right w:val="single" w:sz="12" w:space="0" w:color="auto"/>
            </w:tcBorders>
            <w:shd w:val="clear" w:color="auto" w:fill="C6D9F1"/>
            <w:vAlign w:val="center"/>
            <w:hideMark/>
          </w:tcPr>
          <w:p w:rsidR="002274FF" w:rsidRPr="002274FF" w:rsidRDefault="002274FF" w:rsidP="002274FF">
            <w:pPr>
              <w:autoSpaceDE w:val="0"/>
              <w:autoSpaceDN w:val="0"/>
              <w:adjustRightInd w:val="0"/>
              <w:spacing w:before="20" w:after="20"/>
              <w:jc w:val="center"/>
              <w:rPr>
                <w:b/>
                <w:color w:val="000000"/>
                <w:sz w:val="22"/>
                <w:szCs w:val="22"/>
              </w:rPr>
            </w:pPr>
            <w:r w:rsidRPr="002274FF">
              <w:rPr>
                <w:b/>
                <w:color w:val="000000"/>
                <w:sz w:val="22"/>
                <w:szCs w:val="22"/>
              </w:rPr>
              <w:t>SER (TPY)</w:t>
            </w:r>
          </w:p>
        </w:tc>
      </w:tr>
      <w:tr w:rsidR="002274FF" w:rsidRPr="005C0768" w:rsidTr="002274FF">
        <w:trPr>
          <w:trHeight w:val="264"/>
        </w:trPr>
        <w:tc>
          <w:tcPr>
            <w:tcW w:w="2160" w:type="dxa"/>
            <w:tcBorders>
              <w:top w:val="single" w:sz="4" w:space="0" w:color="auto"/>
              <w:left w:val="single" w:sz="12" w:space="0" w:color="auto"/>
              <w:bottom w:val="single" w:sz="6" w:space="0" w:color="000000"/>
              <w:right w:val="single" w:sz="4" w:space="0" w:color="auto"/>
            </w:tcBorders>
            <w:vAlign w:val="center"/>
            <w:hideMark/>
          </w:tcPr>
          <w:p w:rsidR="002274FF" w:rsidRPr="002274FF" w:rsidRDefault="002274FF" w:rsidP="002274FF">
            <w:pPr>
              <w:autoSpaceDE w:val="0"/>
              <w:autoSpaceDN w:val="0"/>
              <w:adjustRightInd w:val="0"/>
              <w:spacing w:before="20" w:after="20"/>
              <w:jc w:val="center"/>
              <w:rPr>
                <w:color w:val="000000"/>
                <w:sz w:val="22"/>
                <w:szCs w:val="22"/>
              </w:rPr>
            </w:pPr>
            <w:r w:rsidRPr="002274FF">
              <w:rPr>
                <w:color w:val="000000"/>
                <w:sz w:val="22"/>
                <w:szCs w:val="22"/>
              </w:rPr>
              <w:t>CO</w:t>
            </w:r>
          </w:p>
        </w:tc>
        <w:tc>
          <w:tcPr>
            <w:tcW w:w="2367" w:type="dxa"/>
            <w:tcBorders>
              <w:top w:val="single" w:sz="4" w:space="0" w:color="auto"/>
              <w:left w:val="single" w:sz="4" w:space="0" w:color="auto"/>
              <w:bottom w:val="single" w:sz="6" w:space="0" w:color="000000"/>
              <w:right w:val="single" w:sz="4" w:space="0" w:color="auto"/>
            </w:tcBorders>
            <w:shd w:val="clear" w:color="auto" w:fill="DAEEF3"/>
            <w:vAlign w:val="center"/>
            <w:hideMark/>
          </w:tcPr>
          <w:p w:rsidR="002274FF" w:rsidRPr="002274FF" w:rsidRDefault="002274FF" w:rsidP="002274FF">
            <w:pPr>
              <w:autoSpaceDE w:val="0"/>
              <w:autoSpaceDN w:val="0"/>
              <w:adjustRightInd w:val="0"/>
              <w:spacing w:before="20" w:after="20"/>
              <w:jc w:val="center"/>
              <w:rPr>
                <w:color w:val="000000"/>
                <w:sz w:val="22"/>
                <w:szCs w:val="22"/>
              </w:rPr>
            </w:pPr>
            <w:r w:rsidRPr="002274FF">
              <w:rPr>
                <w:color w:val="000000"/>
                <w:sz w:val="22"/>
                <w:szCs w:val="22"/>
              </w:rPr>
              <w:t>100</w:t>
            </w:r>
          </w:p>
        </w:tc>
        <w:tc>
          <w:tcPr>
            <w:tcW w:w="2067" w:type="dxa"/>
            <w:tcBorders>
              <w:top w:val="single" w:sz="4" w:space="0" w:color="auto"/>
              <w:left w:val="single" w:sz="4" w:space="0" w:color="auto"/>
              <w:bottom w:val="single" w:sz="6" w:space="0" w:color="000000"/>
              <w:right w:val="single" w:sz="4" w:space="0" w:color="auto"/>
            </w:tcBorders>
            <w:vAlign w:val="center"/>
            <w:hideMark/>
          </w:tcPr>
          <w:p w:rsidR="002274FF" w:rsidRPr="002274FF" w:rsidRDefault="002274FF" w:rsidP="002274FF">
            <w:pPr>
              <w:autoSpaceDE w:val="0"/>
              <w:autoSpaceDN w:val="0"/>
              <w:adjustRightInd w:val="0"/>
              <w:spacing w:before="20" w:after="20"/>
              <w:jc w:val="center"/>
              <w:rPr>
                <w:color w:val="000000"/>
                <w:sz w:val="22"/>
                <w:szCs w:val="22"/>
              </w:rPr>
            </w:pPr>
            <w:r w:rsidRPr="002274FF">
              <w:rPr>
                <w:color w:val="000000"/>
                <w:sz w:val="22"/>
                <w:szCs w:val="22"/>
              </w:rPr>
              <w:t>NO</w:t>
            </w:r>
            <w:r w:rsidRPr="002274FF">
              <w:rPr>
                <w:color w:val="000000"/>
                <w:sz w:val="22"/>
                <w:szCs w:val="22"/>
                <w:vertAlign w:val="subscript"/>
              </w:rPr>
              <w:t>X</w:t>
            </w:r>
          </w:p>
        </w:tc>
        <w:tc>
          <w:tcPr>
            <w:tcW w:w="2697" w:type="dxa"/>
            <w:tcBorders>
              <w:top w:val="single" w:sz="4" w:space="0" w:color="auto"/>
              <w:left w:val="single" w:sz="4" w:space="0" w:color="auto"/>
              <w:bottom w:val="single" w:sz="6" w:space="0" w:color="000000"/>
              <w:right w:val="single" w:sz="12" w:space="0" w:color="auto"/>
            </w:tcBorders>
            <w:shd w:val="clear" w:color="auto" w:fill="DAEEF3"/>
            <w:vAlign w:val="center"/>
            <w:hideMark/>
          </w:tcPr>
          <w:p w:rsidR="002274FF" w:rsidRPr="002274FF" w:rsidRDefault="002274FF" w:rsidP="002274FF">
            <w:pPr>
              <w:autoSpaceDE w:val="0"/>
              <w:autoSpaceDN w:val="0"/>
              <w:adjustRightInd w:val="0"/>
              <w:spacing w:before="20" w:after="20"/>
              <w:jc w:val="center"/>
              <w:rPr>
                <w:color w:val="000000"/>
                <w:sz w:val="22"/>
                <w:szCs w:val="22"/>
              </w:rPr>
            </w:pPr>
            <w:r w:rsidRPr="002274FF">
              <w:rPr>
                <w:color w:val="000000"/>
                <w:sz w:val="22"/>
                <w:szCs w:val="22"/>
              </w:rPr>
              <w:t>40</w:t>
            </w:r>
          </w:p>
        </w:tc>
      </w:tr>
      <w:tr w:rsidR="002274FF" w:rsidRPr="005C0768" w:rsidTr="002274FF">
        <w:trPr>
          <w:trHeight w:val="264"/>
        </w:trPr>
        <w:tc>
          <w:tcPr>
            <w:tcW w:w="2160" w:type="dxa"/>
            <w:tcBorders>
              <w:top w:val="single" w:sz="6" w:space="0" w:color="000000"/>
              <w:left w:val="single" w:sz="12" w:space="0" w:color="auto"/>
              <w:bottom w:val="single" w:sz="6" w:space="0" w:color="000000"/>
              <w:right w:val="single" w:sz="4" w:space="0" w:color="auto"/>
            </w:tcBorders>
            <w:vAlign w:val="center"/>
            <w:hideMark/>
          </w:tcPr>
          <w:p w:rsidR="002274FF" w:rsidRPr="002274FF" w:rsidRDefault="002274FF" w:rsidP="002274FF">
            <w:pPr>
              <w:autoSpaceDE w:val="0"/>
              <w:autoSpaceDN w:val="0"/>
              <w:adjustRightInd w:val="0"/>
              <w:spacing w:before="20" w:after="20"/>
              <w:jc w:val="center"/>
              <w:rPr>
                <w:color w:val="000000"/>
                <w:sz w:val="22"/>
                <w:szCs w:val="22"/>
              </w:rPr>
            </w:pPr>
            <w:r w:rsidRPr="002274FF">
              <w:rPr>
                <w:color w:val="000000"/>
                <w:sz w:val="22"/>
                <w:szCs w:val="22"/>
              </w:rPr>
              <w:t>PM/PM</w:t>
            </w:r>
            <w:r w:rsidRPr="002274FF">
              <w:rPr>
                <w:sz w:val="22"/>
                <w:szCs w:val="22"/>
                <w:vertAlign w:val="subscript"/>
              </w:rPr>
              <w:t>10</w:t>
            </w:r>
            <w:r w:rsidRPr="002274FF">
              <w:rPr>
                <w:color w:val="000000"/>
                <w:sz w:val="22"/>
                <w:szCs w:val="22"/>
              </w:rPr>
              <w:t>/PM</w:t>
            </w:r>
            <w:r w:rsidRPr="002274FF">
              <w:rPr>
                <w:color w:val="000000"/>
                <w:sz w:val="22"/>
                <w:szCs w:val="22"/>
                <w:vertAlign w:val="subscript"/>
              </w:rPr>
              <w:t>2.5</w:t>
            </w:r>
          </w:p>
        </w:tc>
        <w:tc>
          <w:tcPr>
            <w:tcW w:w="2367" w:type="dxa"/>
            <w:tcBorders>
              <w:top w:val="single" w:sz="6" w:space="0" w:color="000000"/>
              <w:left w:val="single" w:sz="4" w:space="0" w:color="auto"/>
              <w:bottom w:val="single" w:sz="6" w:space="0" w:color="000000"/>
              <w:right w:val="single" w:sz="4" w:space="0" w:color="auto"/>
            </w:tcBorders>
            <w:shd w:val="clear" w:color="auto" w:fill="DAEEF3"/>
            <w:vAlign w:val="center"/>
            <w:hideMark/>
          </w:tcPr>
          <w:p w:rsidR="002274FF" w:rsidRPr="002274FF" w:rsidRDefault="002274FF" w:rsidP="002274FF">
            <w:pPr>
              <w:autoSpaceDE w:val="0"/>
              <w:autoSpaceDN w:val="0"/>
              <w:adjustRightInd w:val="0"/>
              <w:spacing w:before="20" w:after="20"/>
              <w:jc w:val="center"/>
              <w:rPr>
                <w:color w:val="000000"/>
                <w:sz w:val="22"/>
                <w:szCs w:val="22"/>
              </w:rPr>
            </w:pPr>
            <w:r w:rsidRPr="002274FF">
              <w:rPr>
                <w:color w:val="000000"/>
                <w:sz w:val="22"/>
                <w:szCs w:val="22"/>
              </w:rPr>
              <w:t>25/15/10</w:t>
            </w:r>
          </w:p>
        </w:tc>
        <w:tc>
          <w:tcPr>
            <w:tcW w:w="2067" w:type="dxa"/>
            <w:tcBorders>
              <w:top w:val="single" w:sz="6" w:space="0" w:color="000000"/>
              <w:left w:val="single" w:sz="4" w:space="0" w:color="auto"/>
              <w:bottom w:val="single" w:sz="6" w:space="0" w:color="000000"/>
              <w:right w:val="single" w:sz="4" w:space="0" w:color="auto"/>
            </w:tcBorders>
            <w:vAlign w:val="center"/>
            <w:hideMark/>
          </w:tcPr>
          <w:p w:rsidR="002274FF" w:rsidRPr="002274FF" w:rsidRDefault="002274FF" w:rsidP="002274FF">
            <w:pPr>
              <w:autoSpaceDE w:val="0"/>
              <w:autoSpaceDN w:val="0"/>
              <w:adjustRightInd w:val="0"/>
              <w:spacing w:before="20" w:after="20"/>
              <w:jc w:val="center"/>
              <w:rPr>
                <w:color w:val="000000"/>
                <w:sz w:val="22"/>
                <w:szCs w:val="22"/>
              </w:rPr>
            </w:pPr>
            <w:r w:rsidRPr="002274FF">
              <w:rPr>
                <w:color w:val="000000"/>
                <w:sz w:val="22"/>
                <w:szCs w:val="22"/>
              </w:rPr>
              <w:t xml:space="preserve">Ozone (VOC) </w:t>
            </w:r>
            <w:r w:rsidRPr="002274FF">
              <w:rPr>
                <w:b/>
                <w:color w:val="000000"/>
                <w:sz w:val="22"/>
                <w:szCs w:val="22"/>
                <w:vertAlign w:val="superscript"/>
              </w:rPr>
              <w:t>2</w:t>
            </w:r>
          </w:p>
        </w:tc>
        <w:tc>
          <w:tcPr>
            <w:tcW w:w="2697" w:type="dxa"/>
            <w:tcBorders>
              <w:top w:val="single" w:sz="6" w:space="0" w:color="000000"/>
              <w:left w:val="single" w:sz="4" w:space="0" w:color="auto"/>
              <w:bottom w:val="single" w:sz="6" w:space="0" w:color="000000"/>
              <w:right w:val="single" w:sz="12" w:space="0" w:color="auto"/>
            </w:tcBorders>
            <w:shd w:val="clear" w:color="auto" w:fill="DAEEF3"/>
            <w:vAlign w:val="center"/>
            <w:hideMark/>
          </w:tcPr>
          <w:p w:rsidR="002274FF" w:rsidRPr="002274FF" w:rsidRDefault="002274FF" w:rsidP="002274FF">
            <w:pPr>
              <w:autoSpaceDE w:val="0"/>
              <w:autoSpaceDN w:val="0"/>
              <w:adjustRightInd w:val="0"/>
              <w:spacing w:before="20" w:after="20"/>
              <w:jc w:val="center"/>
              <w:rPr>
                <w:color w:val="000000"/>
                <w:sz w:val="22"/>
                <w:szCs w:val="22"/>
              </w:rPr>
            </w:pPr>
            <w:r w:rsidRPr="002274FF">
              <w:rPr>
                <w:color w:val="000000"/>
                <w:sz w:val="22"/>
                <w:szCs w:val="22"/>
              </w:rPr>
              <w:t>40</w:t>
            </w:r>
          </w:p>
        </w:tc>
      </w:tr>
      <w:tr w:rsidR="002274FF" w:rsidRPr="005C0768" w:rsidTr="002274FF">
        <w:trPr>
          <w:trHeight w:val="264"/>
        </w:trPr>
        <w:tc>
          <w:tcPr>
            <w:tcW w:w="2160" w:type="dxa"/>
            <w:tcBorders>
              <w:top w:val="single" w:sz="6" w:space="0" w:color="000000"/>
              <w:left w:val="single" w:sz="12" w:space="0" w:color="auto"/>
              <w:bottom w:val="single" w:sz="6" w:space="0" w:color="000000"/>
              <w:right w:val="single" w:sz="4" w:space="0" w:color="auto"/>
            </w:tcBorders>
            <w:vAlign w:val="center"/>
            <w:hideMark/>
          </w:tcPr>
          <w:p w:rsidR="002274FF" w:rsidRPr="002274FF" w:rsidRDefault="002274FF" w:rsidP="002274FF">
            <w:pPr>
              <w:autoSpaceDE w:val="0"/>
              <w:autoSpaceDN w:val="0"/>
              <w:adjustRightInd w:val="0"/>
              <w:spacing w:before="20" w:after="20"/>
              <w:jc w:val="center"/>
              <w:rPr>
                <w:color w:val="000000"/>
                <w:sz w:val="22"/>
                <w:szCs w:val="22"/>
              </w:rPr>
            </w:pPr>
            <w:r w:rsidRPr="002274FF">
              <w:rPr>
                <w:color w:val="000000"/>
                <w:sz w:val="22"/>
                <w:szCs w:val="22"/>
              </w:rPr>
              <w:t>PM</w:t>
            </w:r>
            <w:r w:rsidRPr="002274FF">
              <w:rPr>
                <w:color w:val="000000"/>
                <w:sz w:val="22"/>
                <w:szCs w:val="22"/>
                <w:vertAlign w:val="subscript"/>
              </w:rPr>
              <w:t>2.5</w:t>
            </w:r>
            <w:r w:rsidRPr="002274FF">
              <w:rPr>
                <w:color w:val="000000"/>
                <w:sz w:val="22"/>
                <w:szCs w:val="22"/>
              </w:rPr>
              <w:t xml:space="preserve"> (NO</w:t>
            </w:r>
            <w:r w:rsidRPr="002274FF">
              <w:rPr>
                <w:sz w:val="22"/>
                <w:szCs w:val="22"/>
                <w:vertAlign w:val="subscript"/>
              </w:rPr>
              <w:t>X</w:t>
            </w:r>
            <w:r w:rsidRPr="002274FF">
              <w:rPr>
                <w:color w:val="000000"/>
                <w:sz w:val="22"/>
                <w:szCs w:val="22"/>
              </w:rPr>
              <w:t>)</w:t>
            </w:r>
          </w:p>
        </w:tc>
        <w:tc>
          <w:tcPr>
            <w:tcW w:w="2367" w:type="dxa"/>
            <w:tcBorders>
              <w:top w:val="single" w:sz="6" w:space="0" w:color="000000"/>
              <w:left w:val="single" w:sz="4" w:space="0" w:color="auto"/>
              <w:bottom w:val="single" w:sz="6" w:space="0" w:color="000000"/>
              <w:right w:val="single" w:sz="4" w:space="0" w:color="auto"/>
            </w:tcBorders>
            <w:shd w:val="clear" w:color="auto" w:fill="DAEEF3"/>
            <w:vAlign w:val="center"/>
            <w:hideMark/>
          </w:tcPr>
          <w:p w:rsidR="002274FF" w:rsidRPr="002274FF" w:rsidRDefault="002274FF" w:rsidP="002274FF">
            <w:pPr>
              <w:autoSpaceDE w:val="0"/>
              <w:autoSpaceDN w:val="0"/>
              <w:adjustRightInd w:val="0"/>
              <w:spacing w:before="20" w:after="20"/>
              <w:jc w:val="center"/>
              <w:rPr>
                <w:color w:val="000000"/>
                <w:sz w:val="22"/>
                <w:szCs w:val="22"/>
              </w:rPr>
            </w:pPr>
            <w:r w:rsidRPr="002274FF">
              <w:rPr>
                <w:color w:val="000000"/>
                <w:sz w:val="22"/>
                <w:szCs w:val="22"/>
              </w:rPr>
              <w:t>40</w:t>
            </w:r>
          </w:p>
        </w:tc>
        <w:tc>
          <w:tcPr>
            <w:tcW w:w="2067" w:type="dxa"/>
            <w:tcBorders>
              <w:top w:val="single" w:sz="6" w:space="0" w:color="000000"/>
              <w:left w:val="single" w:sz="4" w:space="0" w:color="auto"/>
              <w:bottom w:val="single" w:sz="6" w:space="0" w:color="000000"/>
              <w:right w:val="single" w:sz="4" w:space="0" w:color="auto"/>
            </w:tcBorders>
            <w:vAlign w:val="center"/>
            <w:hideMark/>
          </w:tcPr>
          <w:p w:rsidR="002274FF" w:rsidRPr="002274FF" w:rsidRDefault="002274FF" w:rsidP="002274FF">
            <w:pPr>
              <w:autoSpaceDE w:val="0"/>
              <w:autoSpaceDN w:val="0"/>
              <w:adjustRightInd w:val="0"/>
              <w:spacing w:before="20" w:after="20"/>
              <w:jc w:val="center"/>
              <w:rPr>
                <w:color w:val="000000"/>
                <w:sz w:val="22"/>
                <w:szCs w:val="22"/>
              </w:rPr>
            </w:pPr>
            <w:r w:rsidRPr="002274FF">
              <w:rPr>
                <w:color w:val="000000"/>
                <w:sz w:val="22"/>
                <w:szCs w:val="22"/>
              </w:rPr>
              <w:t>PM</w:t>
            </w:r>
            <w:r w:rsidRPr="002274FF">
              <w:rPr>
                <w:color w:val="000000"/>
                <w:sz w:val="22"/>
                <w:szCs w:val="22"/>
                <w:vertAlign w:val="subscript"/>
              </w:rPr>
              <w:t>2.5</w:t>
            </w:r>
            <w:r w:rsidRPr="002274FF">
              <w:rPr>
                <w:color w:val="000000"/>
                <w:sz w:val="22"/>
                <w:szCs w:val="22"/>
              </w:rPr>
              <w:t xml:space="preserve"> (SO</w:t>
            </w:r>
            <w:r w:rsidRPr="002274FF">
              <w:rPr>
                <w:sz w:val="22"/>
                <w:szCs w:val="22"/>
                <w:vertAlign w:val="subscript"/>
              </w:rPr>
              <w:t>2</w:t>
            </w:r>
            <w:r w:rsidRPr="002274FF">
              <w:rPr>
                <w:color w:val="000000"/>
                <w:sz w:val="22"/>
                <w:szCs w:val="22"/>
              </w:rPr>
              <w:t>)</w:t>
            </w:r>
          </w:p>
        </w:tc>
        <w:tc>
          <w:tcPr>
            <w:tcW w:w="2697" w:type="dxa"/>
            <w:tcBorders>
              <w:top w:val="single" w:sz="6" w:space="0" w:color="000000"/>
              <w:left w:val="single" w:sz="4" w:space="0" w:color="auto"/>
              <w:bottom w:val="single" w:sz="6" w:space="0" w:color="000000"/>
              <w:right w:val="single" w:sz="12" w:space="0" w:color="auto"/>
            </w:tcBorders>
            <w:shd w:val="clear" w:color="auto" w:fill="DAEEF3"/>
            <w:vAlign w:val="center"/>
            <w:hideMark/>
          </w:tcPr>
          <w:p w:rsidR="002274FF" w:rsidRPr="002274FF" w:rsidRDefault="002274FF" w:rsidP="002274FF">
            <w:pPr>
              <w:autoSpaceDE w:val="0"/>
              <w:autoSpaceDN w:val="0"/>
              <w:adjustRightInd w:val="0"/>
              <w:spacing w:before="20" w:after="20"/>
              <w:jc w:val="center"/>
              <w:rPr>
                <w:color w:val="000000"/>
                <w:sz w:val="22"/>
                <w:szCs w:val="22"/>
              </w:rPr>
            </w:pPr>
            <w:r w:rsidRPr="002274FF">
              <w:rPr>
                <w:color w:val="000000"/>
                <w:sz w:val="22"/>
                <w:szCs w:val="22"/>
              </w:rPr>
              <w:t>40</w:t>
            </w:r>
          </w:p>
        </w:tc>
      </w:tr>
      <w:tr w:rsidR="002274FF" w:rsidRPr="005C0768" w:rsidTr="002274FF">
        <w:trPr>
          <w:trHeight w:val="246"/>
        </w:trPr>
        <w:tc>
          <w:tcPr>
            <w:tcW w:w="2160" w:type="dxa"/>
            <w:tcBorders>
              <w:top w:val="single" w:sz="6" w:space="0" w:color="000000"/>
              <w:left w:val="single" w:sz="12" w:space="0" w:color="auto"/>
              <w:bottom w:val="single" w:sz="6" w:space="0" w:color="000000"/>
              <w:right w:val="single" w:sz="4" w:space="0" w:color="auto"/>
            </w:tcBorders>
            <w:vAlign w:val="center"/>
            <w:hideMark/>
          </w:tcPr>
          <w:p w:rsidR="002274FF" w:rsidRPr="002274FF" w:rsidRDefault="002274FF" w:rsidP="002274FF">
            <w:pPr>
              <w:autoSpaceDE w:val="0"/>
              <w:autoSpaceDN w:val="0"/>
              <w:adjustRightInd w:val="0"/>
              <w:spacing w:before="20" w:after="20"/>
              <w:jc w:val="center"/>
              <w:rPr>
                <w:color w:val="000000"/>
                <w:sz w:val="22"/>
                <w:szCs w:val="22"/>
              </w:rPr>
            </w:pPr>
            <w:r w:rsidRPr="002274FF">
              <w:rPr>
                <w:color w:val="000000"/>
                <w:sz w:val="22"/>
                <w:szCs w:val="22"/>
              </w:rPr>
              <w:t>Ozone (NO</w:t>
            </w:r>
            <w:r w:rsidRPr="002274FF">
              <w:rPr>
                <w:sz w:val="22"/>
                <w:szCs w:val="22"/>
                <w:vertAlign w:val="subscript"/>
              </w:rPr>
              <w:t>X</w:t>
            </w:r>
            <w:r w:rsidRPr="002274FF">
              <w:rPr>
                <w:color w:val="000000"/>
                <w:sz w:val="22"/>
                <w:szCs w:val="22"/>
              </w:rPr>
              <w:t xml:space="preserve">) </w:t>
            </w:r>
            <w:r w:rsidRPr="002274FF">
              <w:rPr>
                <w:b/>
                <w:color w:val="000000"/>
                <w:sz w:val="22"/>
                <w:szCs w:val="22"/>
                <w:vertAlign w:val="superscript"/>
              </w:rPr>
              <w:t>2</w:t>
            </w:r>
          </w:p>
        </w:tc>
        <w:tc>
          <w:tcPr>
            <w:tcW w:w="2367" w:type="dxa"/>
            <w:tcBorders>
              <w:top w:val="single" w:sz="4" w:space="0" w:color="auto"/>
              <w:left w:val="single" w:sz="4" w:space="0" w:color="auto"/>
              <w:bottom w:val="single" w:sz="6" w:space="0" w:color="000000"/>
              <w:right w:val="single" w:sz="4" w:space="0" w:color="auto"/>
            </w:tcBorders>
            <w:shd w:val="clear" w:color="auto" w:fill="DAEEF3"/>
            <w:vAlign w:val="center"/>
            <w:hideMark/>
          </w:tcPr>
          <w:p w:rsidR="002274FF" w:rsidRPr="002274FF" w:rsidRDefault="002274FF" w:rsidP="002274FF">
            <w:pPr>
              <w:autoSpaceDE w:val="0"/>
              <w:autoSpaceDN w:val="0"/>
              <w:adjustRightInd w:val="0"/>
              <w:spacing w:before="20" w:after="20"/>
              <w:jc w:val="center"/>
              <w:rPr>
                <w:color w:val="000000"/>
                <w:sz w:val="22"/>
                <w:szCs w:val="22"/>
              </w:rPr>
            </w:pPr>
            <w:r w:rsidRPr="002274FF">
              <w:rPr>
                <w:color w:val="000000"/>
                <w:sz w:val="22"/>
                <w:szCs w:val="22"/>
              </w:rPr>
              <w:t>40</w:t>
            </w:r>
          </w:p>
        </w:tc>
        <w:tc>
          <w:tcPr>
            <w:tcW w:w="2067" w:type="dxa"/>
            <w:tcBorders>
              <w:top w:val="single" w:sz="6" w:space="0" w:color="000000"/>
              <w:left w:val="single" w:sz="4" w:space="0" w:color="auto"/>
              <w:bottom w:val="single" w:sz="6" w:space="0" w:color="000000"/>
              <w:right w:val="single" w:sz="4" w:space="0" w:color="auto"/>
            </w:tcBorders>
            <w:vAlign w:val="center"/>
            <w:hideMark/>
          </w:tcPr>
          <w:p w:rsidR="002274FF" w:rsidRPr="002274FF" w:rsidRDefault="002274FF" w:rsidP="002274FF">
            <w:pPr>
              <w:autoSpaceDE w:val="0"/>
              <w:autoSpaceDN w:val="0"/>
              <w:adjustRightInd w:val="0"/>
              <w:spacing w:before="20" w:after="20"/>
              <w:jc w:val="center"/>
              <w:rPr>
                <w:color w:val="000000"/>
                <w:sz w:val="22"/>
                <w:szCs w:val="22"/>
              </w:rPr>
            </w:pPr>
            <w:r w:rsidRPr="002274FF">
              <w:rPr>
                <w:color w:val="000000"/>
                <w:sz w:val="22"/>
                <w:szCs w:val="22"/>
              </w:rPr>
              <w:t>SAM</w:t>
            </w:r>
          </w:p>
        </w:tc>
        <w:tc>
          <w:tcPr>
            <w:tcW w:w="2697" w:type="dxa"/>
            <w:tcBorders>
              <w:top w:val="single" w:sz="6" w:space="0" w:color="000000"/>
              <w:left w:val="single" w:sz="4" w:space="0" w:color="auto"/>
              <w:bottom w:val="single" w:sz="6" w:space="0" w:color="000000"/>
              <w:right w:val="single" w:sz="12" w:space="0" w:color="auto"/>
            </w:tcBorders>
            <w:shd w:val="clear" w:color="auto" w:fill="DAEEF3"/>
            <w:vAlign w:val="center"/>
            <w:hideMark/>
          </w:tcPr>
          <w:p w:rsidR="002274FF" w:rsidRPr="002274FF" w:rsidRDefault="002274FF" w:rsidP="002274FF">
            <w:pPr>
              <w:autoSpaceDE w:val="0"/>
              <w:autoSpaceDN w:val="0"/>
              <w:adjustRightInd w:val="0"/>
              <w:spacing w:before="20" w:after="20"/>
              <w:jc w:val="center"/>
              <w:rPr>
                <w:color w:val="000000"/>
                <w:sz w:val="22"/>
                <w:szCs w:val="22"/>
              </w:rPr>
            </w:pPr>
            <w:r w:rsidRPr="002274FF">
              <w:rPr>
                <w:color w:val="000000"/>
                <w:sz w:val="22"/>
                <w:szCs w:val="22"/>
              </w:rPr>
              <w:t>7</w:t>
            </w:r>
          </w:p>
        </w:tc>
      </w:tr>
      <w:tr w:rsidR="002274FF" w:rsidRPr="005C0768" w:rsidTr="002274FF">
        <w:trPr>
          <w:trHeight w:val="255"/>
        </w:trPr>
        <w:tc>
          <w:tcPr>
            <w:tcW w:w="2160" w:type="dxa"/>
            <w:tcBorders>
              <w:top w:val="single" w:sz="6" w:space="0" w:color="000000"/>
              <w:left w:val="single" w:sz="12" w:space="0" w:color="auto"/>
              <w:bottom w:val="single" w:sz="6" w:space="0" w:color="000000"/>
              <w:right w:val="single" w:sz="4" w:space="0" w:color="auto"/>
            </w:tcBorders>
            <w:vAlign w:val="center"/>
            <w:hideMark/>
          </w:tcPr>
          <w:p w:rsidR="002274FF" w:rsidRPr="002274FF" w:rsidRDefault="002274FF" w:rsidP="002274FF">
            <w:pPr>
              <w:autoSpaceDE w:val="0"/>
              <w:autoSpaceDN w:val="0"/>
              <w:adjustRightInd w:val="0"/>
              <w:spacing w:before="20" w:after="20"/>
              <w:jc w:val="center"/>
              <w:rPr>
                <w:color w:val="000000"/>
                <w:sz w:val="22"/>
                <w:szCs w:val="22"/>
              </w:rPr>
            </w:pPr>
            <w:r w:rsidRPr="002274FF">
              <w:rPr>
                <w:color w:val="000000"/>
                <w:sz w:val="22"/>
                <w:szCs w:val="22"/>
              </w:rPr>
              <w:t>SO</w:t>
            </w:r>
            <w:r w:rsidRPr="002274FF">
              <w:rPr>
                <w:color w:val="000000"/>
                <w:sz w:val="22"/>
                <w:szCs w:val="22"/>
                <w:vertAlign w:val="subscript"/>
              </w:rPr>
              <w:t>2</w:t>
            </w:r>
          </w:p>
        </w:tc>
        <w:tc>
          <w:tcPr>
            <w:tcW w:w="2367" w:type="dxa"/>
            <w:tcBorders>
              <w:top w:val="single" w:sz="6" w:space="0" w:color="000000"/>
              <w:left w:val="single" w:sz="4" w:space="0" w:color="auto"/>
              <w:bottom w:val="single" w:sz="6" w:space="0" w:color="000000"/>
              <w:right w:val="single" w:sz="4" w:space="0" w:color="auto"/>
            </w:tcBorders>
            <w:shd w:val="clear" w:color="auto" w:fill="DAEEF3"/>
            <w:vAlign w:val="center"/>
            <w:hideMark/>
          </w:tcPr>
          <w:p w:rsidR="002274FF" w:rsidRPr="002274FF" w:rsidRDefault="002274FF" w:rsidP="002274FF">
            <w:pPr>
              <w:autoSpaceDE w:val="0"/>
              <w:autoSpaceDN w:val="0"/>
              <w:adjustRightInd w:val="0"/>
              <w:spacing w:before="20" w:after="20"/>
              <w:jc w:val="center"/>
              <w:rPr>
                <w:color w:val="000000"/>
                <w:sz w:val="22"/>
                <w:szCs w:val="22"/>
              </w:rPr>
            </w:pPr>
            <w:r w:rsidRPr="002274FF">
              <w:rPr>
                <w:color w:val="000000"/>
                <w:sz w:val="22"/>
                <w:szCs w:val="22"/>
              </w:rPr>
              <w:t>40</w:t>
            </w:r>
          </w:p>
        </w:tc>
        <w:tc>
          <w:tcPr>
            <w:tcW w:w="2067" w:type="dxa"/>
            <w:tcBorders>
              <w:top w:val="single" w:sz="6" w:space="0" w:color="000000"/>
              <w:left w:val="single" w:sz="4" w:space="0" w:color="auto"/>
              <w:bottom w:val="single" w:sz="6" w:space="0" w:color="000000"/>
              <w:right w:val="single" w:sz="4" w:space="0" w:color="auto"/>
            </w:tcBorders>
            <w:vAlign w:val="center"/>
            <w:hideMark/>
          </w:tcPr>
          <w:p w:rsidR="002274FF" w:rsidRPr="002274FF" w:rsidRDefault="002274FF" w:rsidP="002274FF">
            <w:pPr>
              <w:autoSpaceDE w:val="0"/>
              <w:autoSpaceDN w:val="0"/>
              <w:adjustRightInd w:val="0"/>
              <w:spacing w:before="20" w:after="20"/>
              <w:jc w:val="center"/>
              <w:rPr>
                <w:color w:val="000000"/>
                <w:sz w:val="22"/>
                <w:szCs w:val="22"/>
              </w:rPr>
            </w:pPr>
            <w:r w:rsidRPr="002274FF">
              <w:rPr>
                <w:color w:val="000000"/>
                <w:sz w:val="22"/>
                <w:szCs w:val="22"/>
              </w:rPr>
              <w:t>Pb</w:t>
            </w:r>
          </w:p>
        </w:tc>
        <w:tc>
          <w:tcPr>
            <w:tcW w:w="2697" w:type="dxa"/>
            <w:tcBorders>
              <w:top w:val="single" w:sz="6" w:space="0" w:color="000000"/>
              <w:left w:val="single" w:sz="4" w:space="0" w:color="auto"/>
              <w:bottom w:val="single" w:sz="6" w:space="0" w:color="000000"/>
              <w:right w:val="single" w:sz="12" w:space="0" w:color="auto"/>
            </w:tcBorders>
            <w:shd w:val="clear" w:color="auto" w:fill="DAEEF3"/>
            <w:vAlign w:val="center"/>
            <w:hideMark/>
          </w:tcPr>
          <w:p w:rsidR="002274FF" w:rsidRPr="002274FF" w:rsidRDefault="002274FF" w:rsidP="002274FF">
            <w:pPr>
              <w:autoSpaceDE w:val="0"/>
              <w:autoSpaceDN w:val="0"/>
              <w:adjustRightInd w:val="0"/>
              <w:spacing w:before="20" w:after="20"/>
              <w:jc w:val="center"/>
              <w:rPr>
                <w:color w:val="000000"/>
                <w:sz w:val="22"/>
                <w:szCs w:val="22"/>
              </w:rPr>
            </w:pPr>
            <w:r w:rsidRPr="002274FF">
              <w:rPr>
                <w:color w:val="000000"/>
                <w:sz w:val="22"/>
                <w:szCs w:val="22"/>
              </w:rPr>
              <w:t>0.6</w:t>
            </w:r>
          </w:p>
        </w:tc>
      </w:tr>
      <w:tr w:rsidR="002274FF" w:rsidRPr="005C0768" w:rsidTr="002274FF">
        <w:trPr>
          <w:trHeight w:val="255"/>
        </w:trPr>
        <w:tc>
          <w:tcPr>
            <w:tcW w:w="2160" w:type="dxa"/>
            <w:tcBorders>
              <w:top w:val="single" w:sz="6" w:space="0" w:color="000000"/>
              <w:left w:val="single" w:sz="12" w:space="0" w:color="auto"/>
              <w:bottom w:val="single" w:sz="6" w:space="0" w:color="000000"/>
              <w:right w:val="single" w:sz="4" w:space="0" w:color="auto"/>
            </w:tcBorders>
            <w:vAlign w:val="center"/>
            <w:hideMark/>
          </w:tcPr>
          <w:p w:rsidR="002274FF" w:rsidRPr="002274FF" w:rsidRDefault="002274FF" w:rsidP="002274FF">
            <w:pPr>
              <w:autoSpaceDE w:val="0"/>
              <w:autoSpaceDN w:val="0"/>
              <w:adjustRightInd w:val="0"/>
              <w:spacing w:before="20" w:after="20"/>
              <w:jc w:val="center"/>
              <w:rPr>
                <w:color w:val="000000"/>
                <w:sz w:val="22"/>
                <w:szCs w:val="22"/>
              </w:rPr>
            </w:pPr>
            <w:r w:rsidRPr="002274FF">
              <w:rPr>
                <w:color w:val="000000"/>
                <w:sz w:val="22"/>
                <w:szCs w:val="22"/>
              </w:rPr>
              <w:t>Hg</w:t>
            </w:r>
          </w:p>
        </w:tc>
        <w:tc>
          <w:tcPr>
            <w:tcW w:w="2367" w:type="dxa"/>
            <w:tcBorders>
              <w:top w:val="single" w:sz="6" w:space="0" w:color="000000"/>
              <w:left w:val="single" w:sz="4" w:space="0" w:color="auto"/>
              <w:bottom w:val="single" w:sz="6" w:space="0" w:color="000000"/>
              <w:right w:val="single" w:sz="4" w:space="0" w:color="auto"/>
            </w:tcBorders>
            <w:shd w:val="clear" w:color="auto" w:fill="DAEEF3"/>
            <w:vAlign w:val="center"/>
            <w:hideMark/>
          </w:tcPr>
          <w:p w:rsidR="002274FF" w:rsidRPr="002274FF" w:rsidRDefault="002274FF" w:rsidP="002274FF">
            <w:pPr>
              <w:autoSpaceDE w:val="0"/>
              <w:autoSpaceDN w:val="0"/>
              <w:adjustRightInd w:val="0"/>
              <w:spacing w:before="20" w:after="20"/>
              <w:jc w:val="center"/>
              <w:rPr>
                <w:color w:val="000000"/>
                <w:sz w:val="22"/>
                <w:szCs w:val="22"/>
              </w:rPr>
            </w:pPr>
            <w:r w:rsidRPr="002274FF">
              <w:rPr>
                <w:color w:val="000000"/>
                <w:sz w:val="22"/>
                <w:szCs w:val="22"/>
              </w:rPr>
              <w:t xml:space="preserve">0.1 </w:t>
            </w:r>
          </w:p>
        </w:tc>
        <w:tc>
          <w:tcPr>
            <w:tcW w:w="2067" w:type="dxa"/>
            <w:tcBorders>
              <w:top w:val="single" w:sz="6" w:space="0" w:color="000000"/>
              <w:left w:val="single" w:sz="4" w:space="0" w:color="auto"/>
              <w:bottom w:val="single" w:sz="6" w:space="0" w:color="000000"/>
              <w:right w:val="single" w:sz="4" w:space="0" w:color="auto"/>
            </w:tcBorders>
            <w:vAlign w:val="center"/>
            <w:hideMark/>
          </w:tcPr>
          <w:p w:rsidR="002274FF" w:rsidRPr="002274FF" w:rsidRDefault="002274FF" w:rsidP="002274FF">
            <w:pPr>
              <w:autoSpaceDE w:val="0"/>
              <w:autoSpaceDN w:val="0"/>
              <w:adjustRightInd w:val="0"/>
              <w:spacing w:before="20" w:after="20"/>
              <w:jc w:val="center"/>
              <w:rPr>
                <w:color w:val="000000"/>
                <w:sz w:val="22"/>
                <w:szCs w:val="22"/>
              </w:rPr>
            </w:pPr>
            <w:r w:rsidRPr="002274FF">
              <w:rPr>
                <w:color w:val="000000"/>
                <w:sz w:val="22"/>
                <w:szCs w:val="22"/>
              </w:rPr>
              <w:t>GHG (CO</w:t>
            </w:r>
            <w:r w:rsidRPr="002274FF">
              <w:rPr>
                <w:color w:val="000000"/>
                <w:sz w:val="22"/>
                <w:szCs w:val="22"/>
                <w:vertAlign w:val="subscript"/>
              </w:rPr>
              <w:t>2</w:t>
            </w:r>
            <w:r w:rsidRPr="002274FF">
              <w:rPr>
                <w:color w:val="000000"/>
                <w:sz w:val="22"/>
                <w:szCs w:val="22"/>
              </w:rPr>
              <w:t>e)</w:t>
            </w:r>
          </w:p>
        </w:tc>
        <w:tc>
          <w:tcPr>
            <w:tcW w:w="2697" w:type="dxa"/>
            <w:tcBorders>
              <w:top w:val="single" w:sz="6" w:space="0" w:color="000000"/>
              <w:left w:val="single" w:sz="4" w:space="0" w:color="auto"/>
              <w:bottom w:val="single" w:sz="6" w:space="0" w:color="000000"/>
              <w:right w:val="single" w:sz="12" w:space="0" w:color="auto"/>
            </w:tcBorders>
            <w:shd w:val="clear" w:color="auto" w:fill="DAEEF3"/>
            <w:vAlign w:val="center"/>
            <w:hideMark/>
          </w:tcPr>
          <w:p w:rsidR="002274FF" w:rsidRPr="002274FF" w:rsidRDefault="002274FF" w:rsidP="002274FF">
            <w:pPr>
              <w:autoSpaceDE w:val="0"/>
              <w:autoSpaceDN w:val="0"/>
              <w:adjustRightInd w:val="0"/>
              <w:spacing w:before="20" w:after="20"/>
              <w:jc w:val="center"/>
              <w:rPr>
                <w:color w:val="000000"/>
                <w:sz w:val="22"/>
                <w:szCs w:val="22"/>
              </w:rPr>
            </w:pPr>
            <w:r w:rsidRPr="002274FF">
              <w:rPr>
                <w:color w:val="000000"/>
                <w:sz w:val="22"/>
                <w:szCs w:val="22"/>
              </w:rPr>
              <w:t>75,000</w:t>
            </w:r>
            <w:r w:rsidRPr="002274FF">
              <w:rPr>
                <w:b/>
                <w:caps/>
                <w:color w:val="000000"/>
                <w:sz w:val="22"/>
                <w:szCs w:val="22"/>
                <w:vertAlign w:val="superscript"/>
              </w:rPr>
              <w:t xml:space="preserve"> 3</w:t>
            </w:r>
          </w:p>
        </w:tc>
      </w:tr>
      <w:tr w:rsidR="002274FF" w:rsidRPr="005C0768" w:rsidTr="002274FF">
        <w:trPr>
          <w:trHeight w:val="311"/>
        </w:trPr>
        <w:tc>
          <w:tcPr>
            <w:tcW w:w="9291" w:type="dxa"/>
            <w:gridSpan w:val="4"/>
            <w:tcBorders>
              <w:top w:val="single" w:sz="4" w:space="0" w:color="auto"/>
              <w:left w:val="single" w:sz="12" w:space="0" w:color="auto"/>
              <w:bottom w:val="single" w:sz="12" w:space="0" w:color="auto"/>
              <w:right w:val="single" w:sz="12" w:space="0" w:color="auto"/>
            </w:tcBorders>
            <w:hideMark/>
          </w:tcPr>
          <w:p w:rsidR="002274FF" w:rsidRPr="00036EE7" w:rsidRDefault="002274FF" w:rsidP="002274FF">
            <w:pPr>
              <w:numPr>
                <w:ilvl w:val="0"/>
                <w:numId w:val="19"/>
              </w:numPr>
              <w:tabs>
                <w:tab w:val="clear" w:pos="1080"/>
                <w:tab w:val="num" w:pos="342"/>
              </w:tabs>
              <w:autoSpaceDE w:val="0"/>
              <w:autoSpaceDN w:val="0"/>
              <w:adjustRightInd w:val="0"/>
              <w:spacing w:before="20"/>
              <w:ind w:left="342" w:hanging="328"/>
              <w:rPr>
                <w:color w:val="000000"/>
                <w:sz w:val="18"/>
                <w:szCs w:val="18"/>
              </w:rPr>
            </w:pPr>
            <w:r w:rsidRPr="00036EE7">
              <w:rPr>
                <w:color w:val="000000"/>
                <w:sz w:val="18"/>
                <w:szCs w:val="18"/>
              </w:rPr>
              <w:t>Excluding fluoride and those pollutants defined for Pulp and Paper, MWC, MSW landfills.</w:t>
            </w:r>
          </w:p>
          <w:p w:rsidR="002274FF" w:rsidRPr="00036EE7" w:rsidRDefault="002274FF" w:rsidP="002274FF">
            <w:pPr>
              <w:numPr>
                <w:ilvl w:val="0"/>
                <w:numId w:val="19"/>
              </w:numPr>
              <w:tabs>
                <w:tab w:val="clear" w:pos="1080"/>
                <w:tab w:val="num" w:pos="342"/>
              </w:tabs>
              <w:autoSpaceDE w:val="0"/>
              <w:autoSpaceDN w:val="0"/>
              <w:adjustRightInd w:val="0"/>
              <w:ind w:left="342" w:hanging="328"/>
              <w:rPr>
                <w:color w:val="000000"/>
                <w:sz w:val="18"/>
                <w:szCs w:val="18"/>
              </w:rPr>
            </w:pPr>
            <w:r w:rsidRPr="00036EE7">
              <w:rPr>
                <w:color w:val="000000"/>
                <w:sz w:val="18"/>
                <w:szCs w:val="18"/>
              </w:rPr>
              <w:t>Ozone (O</w:t>
            </w:r>
            <w:r w:rsidRPr="00036EE7">
              <w:rPr>
                <w:color w:val="000000"/>
                <w:sz w:val="18"/>
                <w:szCs w:val="18"/>
                <w:vertAlign w:val="subscript"/>
              </w:rPr>
              <w:t>3</w:t>
            </w:r>
            <w:r w:rsidRPr="00036EE7">
              <w:rPr>
                <w:color w:val="000000"/>
                <w:sz w:val="18"/>
                <w:szCs w:val="18"/>
              </w:rPr>
              <w:t>) is regulated by its precursors (VOC and NO</w:t>
            </w:r>
            <w:r w:rsidRPr="00036EE7">
              <w:rPr>
                <w:color w:val="000000"/>
                <w:sz w:val="18"/>
                <w:szCs w:val="18"/>
                <w:vertAlign w:val="subscript"/>
              </w:rPr>
              <w:t>X</w:t>
            </w:r>
            <w:r w:rsidRPr="00036EE7">
              <w:rPr>
                <w:color w:val="000000"/>
                <w:sz w:val="18"/>
                <w:szCs w:val="18"/>
              </w:rPr>
              <w:t>).  PSD for PM</w:t>
            </w:r>
            <w:r w:rsidRPr="00036EE7">
              <w:rPr>
                <w:color w:val="000000"/>
                <w:sz w:val="18"/>
                <w:szCs w:val="18"/>
                <w:vertAlign w:val="subscript"/>
              </w:rPr>
              <w:t>2.5</w:t>
            </w:r>
            <w:r w:rsidRPr="00036EE7">
              <w:rPr>
                <w:color w:val="000000"/>
                <w:sz w:val="18"/>
                <w:szCs w:val="18"/>
              </w:rPr>
              <w:t xml:space="preserve"> can be triggered by its precursors (NO</w:t>
            </w:r>
            <w:r w:rsidRPr="00036EE7">
              <w:rPr>
                <w:color w:val="000000"/>
                <w:sz w:val="18"/>
                <w:szCs w:val="18"/>
                <w:vertAlign w:val="subscript"/>
              </w:rPr>
              <w:t>X</w:t>
            </w:r>
            <w:r w:rsidRPr="00036EE7">
              <w:rPr>
                <w:color w:val="000000"/>
                <w:sz w:val="18"/>
                <w:szCs w:val="18"/>
              </w:rPr>
              <w:t xml:space="preserve"> and SO</w:t>
            </w:r>
            <w:r w:rsidRPr="00036EE7">
              <w:rPr>
                <w:color w:val="000000"/>
                <w:sz w:val="18"/>
                <w:szCs w:val="18"/>
                <w:vertAlign w:val="subscript"/>
              </w:rPr>
              <w:t>2</w:t>
            </w:r>
            <w:r w:rsidRPr="00036EE7">
              <w:rPr>
                <w:color w:val="000000"/>
                <w:sz w:val="18"/>
                <w:szCs w:val="18"/>
              </w:rPr>
              <w:t>).</w:t>
            </w:r>
          </w:p>
          <w:p w:rsidR="002274FF" w:rsidRPr="00B11687" w:rsidRDefault="002274FF" w:rsidP="004E72F5">
            <w:pPr>
              <w:keepNext/>
              <w:numPr>
                <w:ilvl w:val="0"/>
                <w:numId w:val="19"/>
              </w:numPr>
              <w:tabs>
                <w:tab w:val="clear" w:pos="1080"/>
                <w:tab w:val="num" w:pos="342"/>
              </w:tabs>
              <w:autoSpaceDE w:val="0"/>
              <w:autoSpaceDN w:val="0"/>
              <w:adjustRightInd w:val="0"/>
              <w:spacing w:after="20"/>
              <w:ind w:left="342" w:hanging="328"/>
              <w:outlineLvl w:val="0"/>
              <w:rPr>
                <w:color w:val="000000"/>
                <w:sz w:val="18"/>
                <w:szCs w:val="18"/>
              </w:rPr>
            </w:pPr>
            <w:r w:rsidRPr="004A7F6E">
              <w:rPr>
                <w:color w:val="000000"/>
                <w:sz w:val="18"/>
                <w:szCs w:val="18"/>
              </w:rPr>
              <w:t>GHG is subject to federal regulation for projects at this stationary source that will result in an emissions increase 75,000 TPY of GHG (as CO2e) or more.  GHG regulations have not been incorporated into Department rules</w:t>
            </w:r>
          </w:p>
        </w:tc>
      </w:tr>
    </w:tbl>
    <w:p w:rsidR="00193F10" w:rsidRPr="002274FF" w:rsidRDefault="00193F10" w:rsidP="002274FF">
      <w:pPr>
        <w:pStyle w:val="ListParagraph"/>
        <w:numPr>
          <w:ilvl w:val="1"/>
          <w:numId w:val="14"/>
        </w:numPr>
        <w:spacing w:before="120" w:after="120"/>
        <w:ind w:left="720" w:hanging="720"/>
        <w:contextualSpacing w:val="0"/>
        <w:rPr>
          <w:b/>
          <w:caps/>
          <w:sz w:val="22"/>
        </w:rPr>
      </w:pPr>
      <w:r w:rsidRPr="00193F10">
        <w:rPr>
          <w:b/>
          <w:sz w:val="22"/>
        </w:rPr>
        <w:t>PSD Applicability for Project</w:t>
      </w:r>
    </w:p>
    <w:p w:rsidR="0005445E" w:rsidRDefault="00D571F9" w:rsidP="0005445E">
      <w:pPr>
        <w:pStyle w:val="BodyText"/>
        <w:widowControl w:val="0"/>
        <w:rPr>
          <w:sz w:val="22"/>
        </w:rPr>
      </w:pPr>
      <w:r>
        <w:rPr>
          <w:sz w:val="22"/>
        </w:rPr>
        <w:t xml:space="preserve">Currently, Boiler </w:t>
      </w:r>
      <w:r w:rsidR="00792659">
        <w:rPr>
          <w:sz w:val="22"/>
        </w:rPr>
        <w:t xml:space="preserve">Steam Boiler No. </w:t>
      </w:r>
      <w:r>
        <w:rPr>
          <w:sz w:val="22"/>
        </w:rPr>
        <w:t xml:space="preserve">4 (EU 002) at the UF CoGen Plant is permitted to fire natural gas or fuel oil with a maximum sulfur content of 0.5 percent for 8,760 hours per year.  </w:t>
      </w:r>
      <w:r w:rsidR="00236D77" w:rsidRPr="00236D77">
        <w:rPr>
          <w:sz w:val="22"/>
        </w:rPr>
        <w:fldChar w:fldCharType="begin"/>
      </w:r>
      <w:r w:rsidR="00236D77" w:rsidRPr="00236D77">
        <w:rPr>
          <w:sz w:val="22"/>
        </w:rPr>
        <w:instrText xml:space="preserve"> REF _Ref381689325 \h  \* MERGEFORMAT </w:instrText>
      </w:r>
      <w:r w:rsidR="00236D77" w:rsidRPr="00236D77">
        <w:rPr>
          <w:sz w:val="22"/>
        </w:rPr>
      </w:r>
      <w:r w:rsidR="00236D77" w:rsidRPr="00236D77">
        <w:rPr>
          <w:sz w:val="22"/>
        </w:rPr>
        <w:fldChar w:fldCharType="separate"/>
      </w:r>
      <w:r w:rsidR="00236D77" w:rsidRPr="00236D77">
        <w:rPr>
          <w:b/>
          <w:color w:val="000000" w:themeColor="text1"/>
          <w:sz w:val="22"/>
          <w:szCs w:val="22"/>
        </w:rPr>
        <w:t xml:space="preserve">Table </w:t>
      </w:r>
      <w:r w:rsidR="00236D77" w:rsidRPr="00236D77">
        <w:rPr>
          <w:b/>
          <w:noProof/>
          <w:color w:val="000000" w:themeColor="text1"/>
          <w:sz w:val="22"/>
          <w:szCs w:val="22"/>
        </w:rPr>
        <w:t>5</w:t>
      </w:r>
      <w:r w:rsidR="00236D77" w:rsidRPr="00236D77">
        <w:rPr>
          <w:sz w:val="22"/>
        </w:rPr>
        <w:fldChar w:fldCharType="end"/>
      </w:r>
      <w:r w:rsidR="00236D77">
        <w:rPr>
          <w:sz w:val="22"/>
        </w:rPr>
        <w:t xml:space="preserve"> </w:t>
      </w:r>
      <w:r w:rsidR="002274FF">
        <w:rPr>
          <w:sz w:val="22"/>
        </w:rPr>
        <w:t xml:space="preserve">provides PSD applicability calculations from </w:t>
      </w:r>
      <w:r w:rsidR="00236D77">
        <w:rPr>
          <w:sz w:val="22"/>
        </w:rPr>
        <w:t>DEF</w:t>
      </w:r>
      <w:r w:rsidR="002274FF">
        <w:rPr>
          <w:sz w:val="22"/>
        </w:rPr>
        <w:t xml:space="preserve"> based on the </w:t>
      </w:r>
      <w:r w:rsidR="002274FF" w:rsidRPr="005A1CB8">
        <w:rPr>
          <w:sz w:val="22"/>
        </w:rPr>
        <w:t>net</w:t>
      </w:r>
      <w:r w:rsidR="002274FF">
        <w:rPr>
          <w:sz w:val="22"/>
        </w:rPr>
        <w:t xml:space="preserve"> emission increases expected to result from the </w:t>
      </w:r>
      <w:r w:rsidR="00236D77">
        <w:rPr>
          <w:sz w:val="22"/>
        </w:rPr>
        <w:t>boiler replacement</w:t>
      </w:r>
      <w:r w:rsidR="002274FF">
        <w:rPr>
          <w:sz w:val="22"/>
        </w:rPr>
        <w:t xml:space="preserve"> project.  The net emissions take into account the emission</w:t>
      </w:r>
      <w:r w:rsidR="002B30D0">
        <w:rPr>
          <w:sz w:val="22"/>
        </w:rPr>
        <w:t>s</w:t>
      </w:r>
      <w:r w:rsidR="002274FF">
        <w:rPr>
          <w:sz w:val="22"/>
        </w:rPr>
        <w:t xml:space="preserve"> of the new </w:t>
      </w:r>
      <w:r w:rsidR="004D5574">
        <w:rPr>
          <w:sz w:val="22"/>
        </w:rPr>
        <w:t>boiler</w:t>
      </w:r>
      <w:r w:rsidR="002274FF">
        <w:rPr>
          <w:sz w:val="22"/>
        </w:rPr>
        <w:t xml:space="preserve"> involved in the project minus the emission</w:t>
      </w:r>
      <w:r w:rsidR="002B30D0">
        <w:rPr>
          <w:sz w:val="22"/>
        </w:rPr>
        <w:t>s</w:t>
      </w:r>
      <w:r w:rsidR="002274FF">
        <w:rPr>
          <w:sz w:val="22"/>
        </w:rPr>
        <w:t xml:space="preserve"> of the existing </w:t>
      </w:r>
      <w:r w:rsidR="004D5574">
        <w:rPr>
          <w:sz w:val="22"/>
        </w:rPr>
        <w:t>boiler</w:t>
      </w:r>
      <w:r w:rsidR="00D80F7C">
        <w:rPr>
          <w:sz w:val="22"/>
        </w:rPr>
        <w:t xml:space="preserve"> that will be removed as a result of the project</w:t>
      </w:r>
      <w:r w:rsidR="002274FF">
        <w:rPr>
          <w:sz w:val="22"/>
        </w:rPr>
        <w:t xml:space="preserve">.  </w:t>
      </w:r>
      <w:r w:rsidR="00885A57">
        <w:rPr>
          <w:sz w:val="22"/>
        </w:rPr>
        <w:t>T</w:t>
      </w:r>
      <w:r>
        <w:rPr>
          <w:sz w:val="22"/>
        </w:rPr>
        <w:t xml:space="preserve">he </w:t>
      </w:r>
      <w:r w:rsidR="00885A57">
        <w:rPr>
          <w:sz w:val="22"/>
        </w:rPr>
        <w:t xml:space="preserve">maximum </w:t>
      </w:r>
      <w:r>
        <w:rPr>
          <w:sz w:val="22"/>
        </w:rPr>
        <w:t>emission</w:t>
      </w:r>
      <w:r w:rsidR="002B30D0">
        <w:rPr>
          <w:sz w:val="22"/>
        </w:rPr>
        <w:t>s</w:t>
      </w:r>
      <w:r>
        <w:rPr>
          <w:sz w:val="22"/>
        </w:rPr>
        <w:t xml:space="preserve"> calculations assume that the new </w:t>
      </w:r>
      <w:r w:rsidR="00792659">
        <w:rPr>
          <w:sz w:val="22"/>
        </w:rPr>
        <w:t>Backup Steam B</w:t>
      </w:r>
      <w:r>
        <w:rPr>
          <w:sz w:val="22"/>
        </w:rPr>
        <w:t xml:space="preserve">oiler </w:t>
      </w:r>
      <w:r w:rsidR="00792659">
        <w:rPr>
          <w:sz w:val="22"/>
        </w:rPr>
        <w:t xml:space="preserve">No. 6 </w:t>
      </w:r>
      <w:r>
        <w:rPr>
          <w:sz w:val="22"/>
        </w:rPr>
        <w:t>(EU 008)</w:t>
      </w:r>
      <w:r w:rsidR="00C72C7A">
        <w:rPr>
          <w:sz w:val="22"/>
        </w:rPr>
        <w:t xml:space="preserve"> will operate a total </w:t>
      </w:r>
      <w:r w:rsidR="00885A57" w:rsidRPr="00885A57">
        <w:rPr>
          <w:sz w:val="22"/>
        </w:rPr>
        <w:t>3,</w:t>
      </w:r>
      <w:r w:rsidR="00885A57">
        <w:rPr>
          <w:sz w:val="22"/>
        </w:rPr>
        <w:t>26</w:t>
      </w:r>
      <w:r w:rsidR="00885A57" w:rsidRPr="00885A57">
        <w:rPr>
          <w:sz w:val="22"/>
        </w:rPr>
        <w:t xml:space="preserve">0 hours per year </w:t>
      </w:r>
      <w:r w:rsidR="00885A57">
        <w:rPr>
          <w:sz w:val="22"/>
        </w:rPr>
        <w:t xml:space="preserve">while firing natural gas </w:t>
      </w:r>
      <w:r w:rsidR="00885A57" w:rsidRPr="00885A57">
        <w:rPr>
          <w:sz w:val="22"/>
        </w:rPr>
        <w:t>and 5,500 hours per year</w:t>
      </w:r>
      <w:r w:rsidR="00885A57">
        <w:rPr>
          <w:sz w:val="22"/>
        </w:rPr>
        <w:t xml:space="preserve"> while firing fuel oil</w:t>
      </w:r>
      <w:r w:rsidR="00C72C7A">
        <w:rPr>
          <w:sz w:val="22"/>
        </w:rPr>
        <w:t>.</w:t>
      </w:r>
      <w:r w:rsidR="00D80F7C">
        <w:rPr>
          <w:sz w:val="22"/>
        </w:rPr>
        <w:t xml:space="preserve"> </w:t>
      </w:r>
      <w:r w:rsidR="00C72C7A">
        <w:rPr>
          <w:sz w:val="22"/>
        </w:rPr>
        <w:t xml:space="preserve"> In other words, </w:t>
      </w:r>
      <w:r w:rsidR="00D80F7C">
        <w:rPr>
          <w:sz w:val="22"/>
        </w:rPr>
        <w:t>DEF</w:t>
      </w:r>
      <w:r w:rsidR="00C72C7A">
        <w:rPr>
          <w:sz w:val="22"/>
        </w:rPr>
        <w:t xml:space="preserve"> </w:t>
      </w:r>
      <w:r w:rsidR="006230F9">
        <w:rPr>
          <w:sz w:val="22"/>
        </w:rPr>
        <w:t>plans to</w:t>
      </w:r>
      <w:r w:rsidR="00C72C7A">
        <w:rPr>
          <w:sz w:val="22"/>
        </w:rPr>
        <w:t xml:space="preserve"> limit the new boiler’s operational hours in order to not trigger PSD.  Finally, </w:t>
      </w:r>
      <w:r w:rsidR="001948FC" w:rsidRPr="001948FC">
        <w:rPr>
          <w:sz w:val="22"/>
        </w:rPr>
        <w:t>even though Backup Boiler No. 6 is capable of firing natural gas or No. 2 fuel oil</w:t>
      </w:r>
      <w:r w:rsidR="00747DCC">
        <w:rPr>
          <w:sz w:val="22"/>
        </w:rPr>
        <w:t>,</w:t>
      </w:r>
      <w:r w:rsidR="001948FC" w:rsidRPr="001948FC">
        <w:rPr>
          <w:sz w:val="22"/>
        </w:rPr>
        <w:t xml:space="preserve"> DEF intends to operate the Backup Boiler No. 6 under the “gas-fired boiler” exemption included in 40 CFR Part 63, </w:t>
      </w:r>
      <w:r w:rsidR="00885A57">
        <w:rPr>
          <w:sz w:val="22"/>
        </w:rPr>
        <w:t>s</w:t>
      </w:r>
      <w:r w:rsidR="001948FC" w:rsidRPr="001948FC">
        <w:rPr>
          <w:sz w:val="22"/>
        </w:rPr>
        <w:t>ubpart JJJJJJ</w:t>
      </w:r>
      <w:r w:rsidR="00885A57">
        <w:rPr>
          <w:sz w:val="22"/>
        </w:rPr>
        <w:t xml:space="preserve"> - </w:t>
      </w:r>
      <w:r w:rsidR="00885A57" w:rsidRPr="0005445E">
        <w:rPr>
          <w:sz w:val="22"/>
        </w:rPr>
        <w:t>National Emission Standards for Hazardous Air Pollutants for Industrial, Commercial, and Institutional Boilers Area Sources</w:t>
      </w:r>
      <w:r w:rsidR="001948FC">
        <w:rPr>
          <w:sz w:val="22"/>
        </w:rPr>
        <w:t>.  Consequently,</w:t>
      </w:r>
      <w:r w:rsidR="001948FC" w:rsidRPr="001948FC">
        <w:rPr>
          <w:sz w:val="22"/>
        </w:rPr>
        <w:t xml:space="preserve"> </w:t>
      </w:r>
      <w:r w:rsidR="00D80F7C">
        <w:rPr>
          <w:sz w:val="22"/>
        </w:rPr>
        <w:t>DEF</w:t>
      </w:r>
      <w:r w:rsidR="00C72C7A">
        <w:rPr>
          <w:sz w:val="22"/>
        </w:rPr>
        <w:t xml:space="preserve"> </w:t>
      </w:r>
      <w:r w:rsidR="006230F9">
        <w:rPr>
          <w:sz w:val="22"/>
        </w:rPr>
        <w:t>is requesting</w:t>
      </w:r>
      <w:r w:rsidR="00C72C7A">
        <w:rPr>
          <w:sz w:val="22"/>
        </w:rPr>
        <w:t xml:space="preserve"> a federally enforceable </w:t>
      </w:r>
      <w:r w:rsidR="006230F9">
        <w:rPr>
          <w:sz w:val="22"/>
        </w:rPr>
        <w:t>limit in the permit</w:t>
      </w:r>
      <w:r w:rsidR="00C72C7A">
        <w:rPr>
          <w:sz w:val="22"/>
        </w:rPr>
        <w:t xml:space="preserve"> of 48 hours </w:t>
      </w:r>
      <w:r w:rsidR="00FA36F8">
        <w:rPr>
          <w:sz w:val="22"/>
        </w:rPr>
        <w:t xml:space="preserve">of </w:t>
      </w:r>
      <w:r w:rsidR="002B30D0">
        <w:rPr>
          <w:sz w:val="22"/>
        </w:rPr>
        <w:t xml:space="preserve">fuel </w:t>
      </w:r>
      <w:r w:rsidR="00C72C7A">
        <w:rPr>
          <w:sz w:val="22"/>
        </w:rPr>
        <w:t>oil firing</w:t>
      </w:r>
      <w:r w:rsidR="00FA36F8">
        <w:rPr>
          <w:sz w:val="22"/>
        </w:rPr>
        <w:t xml:space="preserve"> during a calendar year</w:t>
      </w:r>
      <w:r w:rsidR="00C72C7A">
        <w:rPr>
          <w:sz w:val="22"/>
        </w:rPr>
        <w:t xml:space="preserve"> during periods of natural gas availability in order to </w:t>
      </w:r>
      <w:r w:rsidR="00F0323C">
        <w:rPr>
          <w:sz w:val="22"/>
        </w:rPr>
        <w:t xml:space="preserve">not be subject to </w:t>
      </w:r>
      <w:r w:rsidR="0005445E">
        <w:rPr>
          <w:sz w:val="22"/>
        </w:rPr>
        <w:t xml:space="preserve">40 CFR 63, subpart JJJJJJ.  It should be noted that subpart </w:t>
      </w:r>
      <w:r w:rsidR="00885A57">
        <w:rPr>
          <w:sz w:val="22"/>
        </w:rPr>
        <w:t xml:space="preserve">JJJJJJ </w:t>
      </w:r>
      <w:r w:rsidR="0005445E">
        <w:rPr>
          <w:sz w:val="22"/>
        </w:rPr>
        <w:t xml:space="preserve">allows unlimited </w:t>
      </w:r>
      <w:r w:rsidR="002B30D0">
        <w:rPr>
          <w:sz w:val="22"/>
        </w:rPr>
        <w:t xml:space="preserve">fuel </w:t>
      </w:r>
      <w:r w:rsidR="0005445E">
        <w:rPr>
          <w:sz w:val="22"/>
        </w:rPr>
        <w:t xml:space="preserve">oil usage during periods of natural gas </w:t>
      </w:r>
      <w:r w:rsidR="00885A57" w:rsidRPr="00885A57">
        <w:rPr>
          <w:sz w:val="22"/>
        </w:rPr>
        <w:t>supply curtailment or interruption</w:t>
      </w:r>
      <w:r w:rsidR="0005445E">
        <w:rPr>
          <w:sz w:val="22"/>
        </w:rPr>
        <w:t xml:space="preserve">:  </w:t>
      </w:r>
      <w:hyperlink r:id="rId21" w:history="1">
        <w:r w:rsidR="0005445E" w:rsidRPr="0005445E">
          <w:rPr>
            <w:rStyle w:val="Hyperlink"/>
            <w:sz w:val="22"/>
          </w:rPr>
          <w:t>Link to subpart JJJJJJ</w:t>
        </w:r>
      </w:hyperlink>
      <w:r w:rsidR="0005445E">
        <w:rPr>
          <w:sz w:val="22"/>
        </w:rPr>
        <w:t>.</w:t>
      </w:r>
      <w:r w:rsidR="00FA36F8">
        <w:rPr>
          <w:sz w:val="22"/>
        </w:rPr>
        <w:t xml:space="preserve">  Consequently, the oil firing limitation of </w:t>
      </w:r>
      <w:r w:rsidR="00885A57">
        <w:rPr>
          <w:sz w:val="22"/>
        </w:rPr>
        <w:t>5</w:t>
      </w:r>
      <w:r w:rsidR="00FA36F8">
        <w:rPr>
          <w:sz w:val="22"/>
        </w:rPr>
        <w:t xml:space="preserve">,500 hr/yr while also firing natural gas only </w:t>
      </w:r>
      <w:r w:rsidR="00885A57" w:rsidRPr="00885A57">
        <w:rPr>
          <w:sz w:val="22"/>
        </w:rPr>
        <w:t>applies during periods of natural gas supply curtailments or interruptions</w:t>
      </w:r>
      <w:r w:rsidR="00FA36F8">
        <w:rPr>
          <w:sz w:val="22"/>
        </w:rPr>
        <w:t xml:space="preserve">.  Otherwise the 48 hour </w:t>
      </w:r>
      <w:r w:rsidR="00885A57" w:rsidRPr="00885A57">
        <w:rPr>
          <w:sz w:val="22"/>
        </w:rPr>
        <w:t xml:space="preserve">per calendar year </w:t>
      </w:r>
      <w:r w:rsidR="00FA36F8">
        <w:rPr>
          <w:sz w:val="22"/>
        </w:rPr>
        <w:t xml:space="preserve">oil firing limitation will govern.  </w:t>
      </w:r>
    </w:p>
    <w:p w:rsidR="00FA36F8" w:rsidRDefault="002274FF" w:rsidP="00FA36F8">
      <w:pPr>
        <w:pStyle w:val="BodyText"/>
        <w:widowControl w:val="0"/>
        <w:spacing w:before="120"/>
        <w:rPr>
          <w:sz w:val="22"/>
          <w:szCs w:val="22"/>
        </w:rPr>
      </w:pPr>
      <w:r>
        <w:rPr>
          <w:sz w:val="22"/>
        </w:rPr>
        <w:t xml:space="preserve">GHG emissions expressed as </w:t>
      </w:r>
      <w:r>
        <w:rPr>
          <w:sz w:val="22"/>
          <w:szCs w:val="22"/>
        </w:rPr>
        <w:t>CO</w:t>
      </w:r>
      <w:r w:rsidRPr="00842A0B">
        <w:rPr>
          <w:sz w:val="22"/>
          <w:szCs w:val="22"/>
          <w:vertAlign w:val="subscript"/>
        </w:rPr>
        <w:t>2</w:t>
      </w:r>
      <w:r>
        <w:rPr>
          <w:sz w:val="22"/>
          <w:szCs w:val="22"/>
        </w:rPr>
        <w:t xml:space="preserve">e emissions are also included </w:t>
      </w:r>
      <w:r w:rsidR="0005445E" w:rsidRPr="0005445E">
        <w:rPr>
          <w:sz w:val="22"/>
          <w:szCs w:val="22"/>
        </w:rPr>
        <w:fldChar w:fldCharType="begin"/>
      </w:r>
      <w:r w:rsidR="0005445E" w:rsidRPr="0005445E">
        <w:rPr>
          <w:sz w:val="22"/>
          <w:szCs w:val="22"/>
        </w:rPr>
        <w:instrText xml:space="preserve"> REF _Ref381689325 \h  \* MERGEFORMAT </w:instrText>
      </w:r>
      <w:r w:rsidR="0005445E" w:rsidRPr="0005445E">
        <w:rPr>
          <w:sz w:val="22"/>
          <w:szCs w:val="22"/>
        </w:rPr>
      </w:r>
      <w:r w:rsidR="0005445E" w:rsidRPr="0005445E">
        <w:rPr>
          <w:sz w:val="22"/>
          <w:szCs w:val="22"/>
        </w:rPr>
        <w:fldChar w:fldCharType="separate"/>
      </w:r>
      <w:r w:rsidR="0005445E" w:rsidRPr="0005445E">
        <w:rPr>
          <w:b/>
          <w:color w:val="000000" w:themeColor="text1"/>
          <w:sz w:val="22"/>
          <w:szCs w:val="22"/>
        </w:rPr>
        <w:t xml:space="preserve">Table </w:t>
      </w:r>
      <w:r w:rsidR="0005445E" w:rsidRPr="0005445E">
        <w:rPr>
          <w:b/>
          <w:noProof/>
          <w:color w:val="000000" w:themeColor="text1"/>
          <w:sz w:val="22"/>
          <w:szCs w:val="22"/>
        </w:rPr>
        <w:t>5</w:t>
      </w:r>
      <w:r w:rsidR="0005445E" w:rsidRPr="0005445E">
        <w:rPr>
          <w:sz w:val="22"/>
          <w:szCs w:val="22"/>
        </w:rPr>
        <w:fldChar w:fldCharType="end"/>
      </w:r>
      <w:r w:rsidR="0005445E">
        <w:rPr>
          <w:sz w:val="22"/>
          <w:szCs w:val="22"/>
        </w:rPr>
        <w:t xml:space="preserve"> </w:t>
      </w:r>
      <w:r>
        <w:rPr>
          <w:sz w:val="22"/>
          <w:szCs w:val="22"/>
        </w:rPr>
        <w:t xml:space="preserve">for comparison with federal greenhouse </w:t>
      </w:r>
      <w:r>
        <w:rPr>
          <w:sz w:val="22"/>
          <w:szCs w:val="22"/>
        </w:rPr>
        <w:lastRenderedPageBreak/>
        <w:t>gas PSD applicability criteria.</w:t>
      </w:r>
      <w:r w:rsidR="00FA36F8" w:rsidRPr="00FA36F8">
        <w:rPr>
          <w:sz w:val="22"/>
          <w:szCs w:val="22"/>
        </w:rPr>
        <w:t xml:space="preserve"> </w:t>
      </w:r>
    </w:p>
    <w:p w:rsidR="002274FF" w:rsidRPr="00236D77" w:rsidRDefault="00236D77" w:rsidP="00236D77">
      <w:pPr>
        <w:pStyle w:val="Caption"/>
        <w:keepNext/>
        <w:jc w:val="center"/>
        <w:rPr>
          <w:rFonts w:ascii="Times New Roman Bold" w:hAnsi="Times New Roman Bold"/>
          <w:b/>
          <w:i w:val="0"/>
          <w:caps/>
          <w:color w:val="000000" w:themeColor="text1"/>
          <w:sz w:val="22"/>
          <w:szCs w:val="22"/>
        </w:rPr>
      </w:pPr>
      <w:bookmarkStart w:id="9" w:name="_Ref381689325"/>
      <w:r w:rsidRPr="00236D77">
        <w:rPr>
          <w:rFonts w:ascii="Times New Roman Bold" w:hAnsi="Times New Roman Bold"/>
          <w:b/>
          <w:i w:val="0"/>
          <w:caps/>
          <w:color w:val="000000" w:themeColor="text1"/>
          <w:sz w:val="22"/>
          <w:szCs w:val="22"/>
        </w:rPr>
        <w:t xml:space="preserve">Table </w:t>
      </w:r>
      <w:r w:rsidRPr="00236D77">
        <w:rPr>
          <w:rFonts w:ascii="Times New Roman Bold" w:hAnsi="Times New Roman Bold"/>
          <w:b/>
          <w:i w:val="0"/>
          <w:caps/>
          <w:color w:val="000000" w:themeColor="text1"/>
          <w:sz w:val="22"/>
          <w:szCs w:val="22"/>
        </w:rPr>
        <w:fldChar w:fldCharType="begin"/>
      </w:r>
      <w:r w:rsidRPr="00236D77">
        <w:rPr>
          <w:rFonts w:ascii="Times New Roman Bold" w:hAnsi="Times New Roman Bold"/>
          <w:b/>
          <w:i w:val="0"/>
          <w:caps/>
          <w:color w:val="000000" w:themeColor="text1"/>
          <w:sz w:val="22"/>
          <w:szCs w:val="22"/>
        </w:rPr>
        <w:instrText xml:space="preserve"> SEQ Table \* ARABIC </w:instrText>
      </w:r>
      <w:r w:rsidRPr="00236D77">
        <w:rPr>
          <w:rFonts w:ascii="Times New Roman Bold" w:hAnsi="Times New Roman Bold"/>
          <w:b/>
          <w:i w:val="0"/>
          <w:caps/>
          <w:color w:val="000000" w:themeColor="text1"/>
          <w:sz w:val="22"/>
          <w:szCs w:val="22"/>
        </w:rPr>
        <w:fldChar w:fldCharType="separate"/>
      </w:r>
      <w:r w:rsidR="008A57F6">
        <w:rPr>
          <w:rFonts w:ascii="Times New Roman Bold" w:hAnsi="Times New Roman Bold"/>
          <w:b/>
          <w:i w:val="0"/>
          <w:caps/>
          <w:noProof/>
          <w:color w:val="000000" w:themeColor="text1"/>
          <w:sz w:val="22"/>
          <w:szCs w:val="22"/>
        </w:rPr>
        <w:t>5</w:t>
      </w:r>
      <w:r w:rsidRPr="00236D77">
        <w:rPr>
          <w:rFonts w:ascii="Times New Roman Bold" w:hAnsi="Times New Roman Bold"/>
          <w:b/>
          <w:i w:val="0"/>
          <w:caps/>
          <w:color w:val="000000" w:themeColor="text1"/>
          <w:sz w:val="22"/>
          <w:szCs w:val="22"/>
        </w:rPr>
        <w:fldChar w:fldCharType="end"/>
      </w:r>
      <w:bookmarkEnd w:id="9"/>
      <w:r w:rsidRPr="00236D77">
        <w:rPr>
          <w:rFonts w:ascii="Times New Roman Bold" w:hAnsi="Times New Roman Bold"/>
          <w:b/>
          <w:i w:val="0"/>
          <w:caps/>
          <w:color w:val="000000" w:themeColor="text1"/>
          <w:sz w:val="22"/>
          <w:szCs w:val="22"/>
        </w:rPr>
        <w:t xml:space="preserve">.  </w:t>
      </w:r>
      <w:r w:rsidR="002274FF" w:rsidRPr="00236D77">
        <w:rPr>
          <w:rFonts w:ascii="Times New Roman Bold" w:hAnsi="Times New Roman Bold"/>
          <w:b/>
          <w:bCs/>
          <w:i w:val="0"/>
          <w:caps/>
          <w:color w:val="000000" w:themeColor="text1"/>
          <w:sz w:val="22"/>
          <w:szCs w:val="22"/>
        </w:rPr>
        <w:t xml:space="preserve"> Summary of Netting from the Project</w:t>
      </w:r>
      <w:r>
        <w:rPr>
          <w:rFonts w:ascii="Times New Roman Bold" w:hAnsi="Times New Roman Bold"/>
          <w:b/>
          <w:bCs/>
          <w:i w:val="0"/>
          <w:caps/>
          <w:color w:val="000000" w:themeColor="text1"/>
          <w:sz w:val="22"/>
          <w:szCs w:val="22"/>
        </w:rPr>
        <w:t>.</w:t>
      </w:r>
    </w:p>
    <w:tbl>
      <w:tblPr>
        <w:tblStyle w:val="TableGrid"/>
        <w:tblW w:w="0" w:type="auto"/>
        <w:tblLook w:val="04A0" w:firstRow="1" w:lastRow="0" w:firstColumn="1" w:lastColumn="0" w:noHBand="0" w:noVBand="1"/>
      </w:tblPr>
      <w:tblGrid>
        <w:gridCol w:w="1284"/>
        <w:gridCol w:w="1486"/>
        <w:gridCol w:w="1493"/>
        <w:gridCol w:w="1459"/>
        <w:gridCol w:w="1496"/>
        <w:gridCol w:w="1148"/>
        <w:gridCol w:w="832"/>
        <w:gridCol w:w="872"/>
      </w:tblGrid>
      <w:tr w:rsidR="004D5574" w:rsidRPr="002274FF" w:rsidTr="0005445E">
        <w:trPr>
          <w:trHeight w:val="315"/>
          <w:tblHeader/>
        </w:trPr>
        <w:tc>
          <w:tcPr>
            <w:tcW w:w="1284" w:type="dxa"/>
            <w:vMerge w:val="restart"/>
            <w:shd w:val="clear" w:color="auto" w:fill="BDD6EE" w:themeFill="accent1" w:themeFillTint="66"/>
            <w:noWrap/>
            <w:vAlign w:val="center"/>
            <w:hideMark/>
          </w:tcPr>
          <w:p w:rsidR="004D5574" w:rsidRPr="000E2D96" w:rsidRDefault="004D5574" w:rsidP="000E2D96">
            <w:pPr>
              <w:pStyle w:val="BodyText"/>
              <w:widowControl w:val="0"/>
              <w:spacing w:before="20" w:after="20"/>
              <w:jc w:val="center"/>
              <w:rPr>
                <w:b/>
                <w:bCs/>
                <w:sz w:val="20"/>
              </w:rPr>
            </w:pPr>
            <w:r w:rsidRPr="000E2D96">
              <w:rPr>
                <w:b/>
                <w:bCs/>
                <w:sz w:val="20"/>
              </w:rPr>
              <w:t>Pollutant</w:t>
            </w:r>
          </w:p>
        </w:tc>
        <w:tc>
          <w:tcPr>
            <w:tcW w:w="4438" w:type="dxa"/>
            <w:gridSpan w:val="3"/>
            <w:shd w:val="clear" w:color="auto" w:fill="BDD6EE" w:themeFill="accent1" w:themeFillTint="66"/>
            <w:noWrap/>
            <w:vAlign w:val="center"/>
            <w:hideMark/>
          </w:tcPr>
          <w:p w:rsidR="004D5574" w:rsidRPr="000E2D96" w:rsidRDefault="004D5574" w:rsidP="000E2D96">
            <w:pPr>
              <w:pStyle w:val="BodyText"/>
              <w:widowControl w:val="0"/>
              <w:spacing w:before="20" w:after="20"/>
              <w:jc w:val="center"/>
              <w:rPr>
                <w:b/>
                <w:bCs/>
                <w:sz w:val="20"/>
              </w:rPr>
            </w:pPr>
            <w:r w:rsidRPr="000E2D96">
              <w:rPr>
                <w:b/>
                <w:bCs/>
                <w:sz w:val="20"/>
              </w:rPr>
              <w:t>Maximum Potential Annual Emissions (TPY)</w:t>
            </w:r>
          </w:p>
        </w:tc>
        <w:tc>
          <w:tcPr>
            <w:tcW w:w="2644" w:type="dxa"/>
            <w:gridSpan w:val="2"/>
            <w:shd w:val="clear" w:color="auto" w:fill="BDD6EE" w:themeFill="accent1" w:themeFillTint="66"/>
            <w:noWrap/>
            <w:vAlign w:val="center"/>
            <w:hideMark/>
          </w:tcPr>
          <w:p w:rsidR="004D5574" w:rsidRPr="000E2D96" w:rsidRDefault="004D5574" w:rsidP="000E2D96">
            <w:pPr>
              <w:pStyle w:val="BodyText"/>
              <w:widowControl w:val="0"/>
              <w:spacing w:before="20" w:after="20"/>
              <w:jc w:val="center"/>
              <w:rPr>
                <w:b/>
                <w:bCs/>
                <w:sz w:val="20"/>
              </w:rPr>
            </w:pPr>
            <w:r w:rsidRPr="000E2D96">
              <w:rPr>
                <w:b/>
                <w:bCs/>
                <w:sz w:val="20"/>
              </w:rPr>
              <w:t>Netting Calculations</w:t>
            </w:r>
          </w:p>
        </w:tc>
        <w:tc>
          <w:tcPr>
            <w:tcW w:w="832" w:type="dxa"/>
            <w:vMerge w:val="restart"/>
            <w:shd w:val="clear" w:color="auto" w:fill="BDD6EE" w:themeFill="accent1" w:themeFillTint="66"/>
            <w:noWrap/>
            <w:vAlign w:val="center"/>
            <w:hideMark/>
          </w:tcPr>
          <w:p w:rsidR="004D5574" w:rsidRPr="000E2D96" w:rsidRDefault="004D5574" w:rsidP="000E2D96">
            <w:pPr>
              <w:pStyle w:val="BodyText"/>
              <w:widowControl w:val="0"/>
              <w:spacing w:before="20" w:after="20"/>
              <w:jc w:val="center"/>
              <w:rPr>
                <w:b/>
                <w:bCs/>
                <w:sz w:val="20"/>
              </w:rPr>
            </w:pPr>
            <w:r>
              <w:rPr>
                <w:b/>
                <w:bCs/>
                <w:sz w:val="20"/>
              </w:rPr>
              <w:t>SER</w:t>
            </w:r>
            <w:r w:rsidRPr="000E2D96">
              <w:rPr>
                <w:b/>
                <w:bCs/>
                <w:sz w:val="20"/>
              </w:rPr>
              <w:br/>
              <w:t>(TPY)</w:t>
            </w:r>
          </w:p>
        </w:tc>
        <w:tc>
          <w:tcPr>
            <w:tcW w:w="872" w:type="dxa"/>
            <w:vMerge w:val="restart"/>
            <w:shd w:val="clear" w:color="auto" w:fill="BDD6EE" w:themeFill="accent1" w:themeFillTint="66"/>
            <w:vAlign w:val="center"/>
          </w:tcPr>
          <w:p w:rsidR="004D5574" w:rsidRPr="000E2D96" w:rsidRDefault="00D571F9" w:rsidP="000E2D96">
            <w:pPr>
              <w:pStyle w:val="BodyText"/>
              <w:widowControl w:val="0"/>
              <w:spacing w:before="20" w:after="20"/>
              <w:jc w:val="center"/>
              <w:rPr>
                <w:b/>
                <w:bCs/>
                <w:sz w:val="20"/>
              </w:rPr>
            </w:pPr>
            <w:r>
              <w:rPr>
                <w:b/>
                <w:bCs/>
                <w:sz w:val="20"/>
              </w:rPr>
              <w:t>Trigger</w:t>
            </w:r>
            <w:r>
              <w:rPr>
                <w:b/>
                <w:bCs/>
                <w:sz w:val="20"/>
              </w:rPr>
              <w:br/>
              <w:t>PSD?</w:t>
            </w:r>
          </w:p>
        </w:tc>
      </w:tr>
      <w:tr w:rsidR="004D5574" w:rsidRPr="002274FF" w:rsidTr="00D571F9">
        <w:trPr>
          <w:trHeight w:val="1142"/>
        </w:trPr>
        <w:tc>
          <w:tcPr>
            <w:tcW w:w="1284" w:type="dxa"/>
            <w:vMerge/>
            <w:tcBorders>
              <w:bottom w:val="single" w:sz="4" w:space="0" w:color="auto"/>
            </w:tcBorders>
            <w:shd w:val="clear" w:color="auto" w:fill="BDD6EE" w:themeFill="accent1" w:themeFillTint="66"/>
            <w:noWrap/>
            <w:hideMark/>
          </w:tcPr>
          <w:p w:rsidR="004D5574" w:rsidRPr="000E2D96" w:rsidRDefault="004D5574" w:rsidP="000E2D96">
            <w:pPr>
              <w:pStyle w:val="BodyText"/>
              <w:widowControl w:val="0"/>
              <w:spacing w:before="20" w:after="20"/>
              <w:rPr>
                <w:b/>
                <w:bCs/>
                <w:sz w:val="20"/>
              </w:rPr>
            </w:pPr>
          </w:p>
        </w:tc>
        <w:tc>
          <w:tcPr>
            <w:tcW w:w="1486" w:type="dxa"/>
            <w:tcBorders>
              <w:bottom w:val="single" w:sz="4" w:space="0" w:color="auto"/>
            </w:tcBorders>
            <w:shd w:val="clear" w:color="auto" w:fill="BDD6EE" w:themeFill="accent1" w:themeFillTint="66"/>
            <w:vAlign w:val="center"/>
            <w:hideMark/>
          </w:tcPr>
          <w:p w:rsidR="004D5574" w:rsidRPr="000E2D96" w:rsidRDefault="004D5574" w:rsidP="000E2D96">
            <w:pPr>
              <w:pStyle w:val="BodyText"/>
              <w:widowControl w:val="0"/>
              <w:spacing w:before="20" w:after="20"/>
              <w:jc w:val="center"/>
              <w:rPr>
                <w:b/>
                <w:bCs/>
                <w:sz w:val="20"/>
              </w:rPr>
            </w:pPr>
            <w:r w:rsidRPr="000E2D96">
              <w:rPr>
                <w:b/>
                <w:bCs/>
                <w:sz w:val="20"/>
              </w:rPr>
              <w:t>Boiler Emissions- Gas Firing</w:t>
            </w:r>
            <w:r w:rsidR="001948FC">
              <w:rPr>
                <w:b/>
                <w:bCs/>
                <w:sz w:val="20"/>
              </w:rPr>
              <w:t xml:space="preserve"> </w:t>
            </w:r>
            <w:r w:rsidR="001948FC" w:rsidRPr="001948FC">
              <w:rPr>
                <w:b/>
                <w:bCs/>
                <w:sz w:val="20"/>
                <w:vertAlign w:val="superscript"/>
              </w:rPr>
              <w:t>a</w:t>
            </w:r>
          </w:p>
        </w:tc>
        <w:tc>
          <w:tcPr>
            <w:tcW w:w="1493" w:type="dxa"/>
            <w:tcBorders>
              <w:bottom w:val="single" w:sz="4" w:space="0" w:color="auto"/>
            </w:tcBorders>
            <w:shd w:val="clear" w:color="auto" w:fill="BDD6EE" w:themeFill="accent1" w:themeFillTint="66"/>
            <w:vAlign w:val="center"/>
            <w:hideMark/>
          </w:tcPr>
          <w:p w:rsidR="004D5574" w:rsidRPr="000E2D96" w:rsidRDefault="004D5574" w:rsidP="000E2D96">
            <w:pPr>
              <w:pStyle w:val="BodyText"/>
              <w:widowControl w:val="0"/>
              <w:spacing w:before="20" w:after="20"/>
              <w:jc w:val="center"/>
              <w:rPr>
                <w:b/>
                <w:bCs/>
                <w:sz w:val="20"/>
              </w:rPr>
            </w:pPr>
            <w:r w:rsidRPr="000E2D96">
              <w:rPr>
                <w:b/>
                <w:bCs/>
                <w:sz w:val="20"/>
              </w:rPr>
              <w:t>Boiler Emissions- Oil- Firing</w:t>
            </w:r>
            <w:r w:rsidR="001948FC">
              <w:rPr>
                <w:b/>
                <w:bCs/>
                <w:sz w:val="20"/>
              </w:rPr>
              <w:t xml:space="preserve"> </w:t>
            </w:r>
            <w:r w:rsidR="001948FC" w:rsidRPr="001948FC">
              <w:rPr>
                <w:b/>
                <w:bCs/>
                <w:sz w:val="20"/>
                <w:vertAlign w:val="superscript"/>
              </w:rPr>
              <w:t>b</w:t>
            </w:r>
          </w:p>
        </w:tc>
        <w:tc>
          <w:tcPr>
            <w:tcW w:w="1459" w:type="dxa"/>
            <w:tcBorders>
              <w:bottom w:val="single" w:sz="4" w:space="0" w:color="auto"/>
            </w:tcBorders>
            <w:shd w:val="clear" w:color="auto" w:fill="BDD6EE" w:themeFill="accent1" w:themeFillTint="66"/>
            <w:noWrap/>
            <w:vAlign w:val="center"/>
            <w:hideMark/>
          </w:tcPr>
          <w:p w:rsidR="004D5574" w:rsidRPr="000E2D96" w:rsidRDefault="004D5574" w:rsidP="001948FC">
            <w:pPr>
              <w:pStyle w:val="BodyText"/>
              <w:widowControl w:val="0"/>
              <w:spacing w:before="20" w:after="20"/>
              <w:jc w:val="center"/>
              <w:rPr>
                <w:sz w:val="20"/>
              </w:rPr>
            </w:pPr>
            <w:r w:rsidRPr="000E2D96">
              <w:rPr>
                <w:b/>
                <w:bCs/>
                <w:sz w:val="20"/>
              </w:rPr>
              <w:t>Maximum Case</w:t>
            </w:r>
            <w:r>
              <w:rPr>
                <w:b/>
                <w:bCs/>
                <w:sz w:val="20"/>
              </w:rPr>
              <w:t xml:space="preserve"> </w:t>
            </w:r>
            <w:r w:rsidRPr="000E2D96">
              <w:rPr>
                <w:b/>
                <w:bCs/>
                <w:sz w:val="20"/>
              </w:rPr>
              <w:t>Both Fuels</w:t>
            </w:r>
            <w:r w:rsidR="001948FC">
              <w:rPr>
                <w:b/>
                <w:bCs/>
                <w:sz w:val="20"/>
              </w:rPr>
              <w:t xml:space="preserve"> </w:t>
            </w:r>
            <w:r w:rsidR="001948FC">
              <w:rPr>
                <w:b/>
                <w:bCs/>
                <w:sz w:val="20"/>
                <w:vertAlign w:val="superscript"/>
              </w:rPr>
              <w:t>c</w:t>
            </w:r>
          </w:p>
        </w:tc>
        <w:tc>
          <w:tcPr>
            <w:tcW w:w="1496" w:type="dxa"/>
            <w:tcBorders>
              <w:bottom w:val="single" w:sz="4" w:space="0" w:color="auto"/>
            </w:tcBorders>
            <w:shd w:val="clear" w:color="auto" w:fill="BDD6EE" w:themeFill="accent1" w:themeFillTint="66"/>
            <w:noWrap/>
            <w:vAlign w:val="center"/>
            <w:hideMark/>
          </w:tcPr>
          <w:p w:rsidR="004D5574" w:rsidRPr="000E2D96" w:rsidRDefault="004D5574" w:rsidP="001948FC">
            <w:pPr>
              <w:pStyle w:val="BodyText"/>
              <w:widowControl w:val="0"/>
              <w:spacing w:before="20" w:after="20"/>
              <w:jc w:val="center"/>
              <w:rPr>
                <w:b/>
                <w:bCs/>
                <w:sz w:val="20"/>
              </w:rPr>
            </w:pPr>
            <w:r w:rsidRPr="000E2D96">
              <w:rPr>
                <w:b/>
                <w:bCs/>
                <w:sz w:val="20"/>
              </w:rPr>
              <w:t>Max</w:t>
            </w:r>
            <w:r>
              <w:rPr>
                <w:b/>
                <w:bCs/>
                <w:sz w:val="20"/>
              </w:rPr>
              <w:t>.</w:t>
            </w:r>
            <w:r w:rsidRPr="000E2D96">
              <w:rPr>
                <w:b/>
                <w:bCs/>
                <w:sz w:val="20"/>
              </w:rPr>
              <w:t xml:space="preserve"> 2-Year </w:t>
            </w:r>
            <w:r>
              <w:rPr>
                <w:b/>
                <w:bCs/>
                <w:sz w:val="20"/>
              </w:rPr>
              <w:t>Avg.</w:t>
            </w:r>
            <w:r w:rsidRPr="000E2D96">
              <w:rPr>
                <w:b/>
                <w:bCs/>
                <w:sz w:val="20"/>
              </w:rPr>
              <w:t xml:space="preserve"> Existing Units </w:t>
            </w:r>
            <w:r w:rsidR="001948FC">
              <w:rPr>
                <w:b/>
                <w:bCs/>
                <w:sz w:val="20"/>
                <w:vertAlign w:val="superscript"/>
              </w:rPr>
              <w:t>d</w:t>
            </w:r>
            <w:r w:rsidRPr="000E2D96">
              <w:rPr>
                <w:b/>
                <w:bCs/>
                <w:sz w:val="20"/>
              </w:rPr>
              <w:br/>
              <w:t>(TPY)</w:t>
            </w:r>
          </w:p>
        </w:tc>
        <w:tc>
          <w:tcPr>
            <w:tcW w:w="1148" w:type="dxa"/>
            <w:tcBorders>
              <w:bottom w:val="single" w:sz="4" w:space="0" w:color="auto"/>
            </w:tcBorders>
            <w:shd w:val="clear" w:color="auto" w:fill="BDD6EE" w:themeFill="accent1" w:themeFillTint="66"/>
            <w:noWrap/>
            <w:vAlign w:val="center"/>
            <w:hideMark/>
          </w:tcPr>
          <w:p w:rsidR="004D5574" w:rsidRPr="000E2D96" w:rsidRDefault="004D5574" w:rsidP="000E2D96">
            <w:pPr>
              <w:pStyle w:val="BodyText"/>
              <w:widowControl w:val="0"/>
              <w:spacing w:before="20" w:after="20"/>
              <w:jc w:val="center"/>
              <w:rPr>
                <w:b/>
                <w:bCs/>
                <w:sz w:val="20"/>
              </w:rPr>
            </w:pPr>
            <w:r w:rsidRPr="000E2D96">
              <w:rPr>
                <w:b/>
                <w:bCs/>
                <w:sz w:val="20"/>
              </w:rPr>
              <w:t>Change</w:t>
            </w:r>
            <w:r>
              <w:rPr>
                <w:b/>
                <w:bCs/>
                <w:sz w:val="20"/>
              </w:rPr>
              <w:br/>
            </w:r>
            <w:r w:rsidRPr="000E2D96">
              <w:rPr>
                <w:b/>
                <w:bCs/>
                <w:sz w:val="20"/>
              </w:rPr>
              <w:t>(TPY)</w:t>
            </w:r>
          </w:p>
        </w:tc>
        <w:tc>
          <w:tcPr>
            <w:tcW w:w="832" w:type="dxa"/>
            <w:vMerge/>
            <w:tcBorders>
              <w:bottom w:val="single" w:sz="4" w:space="0" w:color="auto"/>
            </w:tcBorders>
            <w:shd w:val="clear" w:color="auto" w:fill="BDD6EE" w:themeFill="accent1" w:themeFillTint="66"/>
            <w:noWrap/>
            <w:hideMark/>
          </w:tcPr>
          <w:p w:rsidR="004D5574" w:rsidRPr="000E2D96" w:rsidRDefault="004D5574" w:rsidP="000E2D96">
            <w:pPr>
              <w:pStyle w:val="BodyText"/>
              <w:widowControl w:val="0"/>
              <w:spacing w:before="20" w:after="20"/>
              <w:rPr>
                <w:b/>
                <w:bCs/>
                <w:sz w:val="20"/>
              </w:rPr>
            </w:pPr>
          </w:p>
        </w:tc>
        <w:tc>
          <w:tcPr>
            <w:tcW w:w="872" w:type="dxa"/>
            <w:vMerge/>
            <w:tcBorders>
              <w:bottom w:val="single" w:sz="4" w:space="0" w:color="auto"/>
            </w:tcBorders>
            <w:shd w:val="clear" w:color="auto" w:fill="BDD6EE" w:themeFill="accent1" w:themeFillTint="66"/>
          </w:tcPr>
          <w:p w:rsidR="004D5574" w:rsidRPr="000E2D96" w:rsidRDefault="004D5574" w:rsidP="000E2D96">
            <w:pPr>
              <w:pStyle w:val="BodyText"/>
              <w:widowControl w:val="0"/>
              <w:spacing w:before="20" w:after="20"/>
              <w:rPr>
                <w:b/>
                <w:bCs/>
                <w:sz w:val="20"/>
              </w:rPr>
            </w:pPr>
          </w:p>
        </w:tc>
      </w:tr>
      <w:tr w:rsidR="00D571F9" w:rsidRPr="002274FF" w:rsidTr="00D571F9">
        <w:trPr>
          <w:trHeight w:val="315"/>
        </w:trPr>
        <w:tc>
          <w:tcPr>
            <w:tcW w:w="1284" w:type="dxa"/>
            <w:noWrap/>
            <w:vAlign w:val="center"/>
            <w:hideMark/>
          </w:tcPr>
          <w:p w:rsidR="00D571F9" w:rsidRPr="000E2D96" w:rsidRDefault="00D571F9" w:rsidP="000E2D96">
            <w:pPr>
              <w:pStyle w:val="BodyText"/>
              <w:widowControl w:val="0"/>
              <w:spacing w:before="20" w:after="20"/>
              <w:jc w:val="center"/>
              <w:rPr>
                <w:sz w:val="20"/>
              </w:rPr>
            </w:pPr>
            <w:r w:rsidRPr="000E2D96">
              <w:rPr>
                <w:sz w:val="20"/>
              </w:rPr>
              <w:t>SO</w:t>
            </w:r>
            <w:r w:rsidRPr="000E2D96">
              <w:rPr>
                <w:sz w:val="20"/>
                <w:vertAlign w:val="subscript"/>
              </w:rPr>
              <w:t>2</w:t>
            </w:r>
          </w:p>
        </w:tc>
        <w:tc>
          <w:tcPr>
            <w:tcW w:w="1486" w:type="dxa"/>
            <w:noWrap/>
            <w:vAlign w:val="center"/>
            <w:hideMark/>
          </w:tcPr>
          <w:p w:rsidR="00D571F9" w:rsidRPr="000E2D96" w:rsidRDefault="00D571F9" w:rsidP="004A3733">
            <w:pPr>
              <w:pStyle w:val="BodyText"/>
              <w:widowControl w:val="0"/>
              <w:spacing w:before="20" w:after="20"/>
              <w:jc w:val="center"/>
              <w:rPr>
                <w:sz w:val="20"/>
              </w:rPr>
            </w:pPr>
            <w:r w:rsidRPr="000E2D96">
              <w:rPr>
                <w:sz w:val="20"/>
              </w:rPr>
              <w:t>2.5</w:t>
            </w:r>
          </w:p>
        </w:tc>
        <w:tc>
          <w:tcPr>
            <w:tcW w:w="1493" w:type="dxa"/>
            <w:noWrap/>
            <w:vAlign w:val="center"/>
            <w:hideMark/>
          </w:tcPr>
          <w:p w:rsidR="00D571F9" w:rsidRPr="000E2D96" w:rsidRDefault="001948FC" w:rsidP="004D5574">
            <w:pPr>
              <w:pStyle w:val="BodyText"/>
              <w:widowControl w:val="0"/>
              <w:spacing w:before="20" w:after="20"/>
              <w:jc w:val="center"/>
              <w:rPr>
                <w:sz w:val="20"/>
              </w:rPr>
            </w:pPr>
            <w:r>
              <w:rPr>
                <w:sz w:val="20"/>
              </w:rPr>
              <w:t>31.8</w:t>
            </w:r>
          </w:p>
        </w:tc>
        <w:tc>
          <w:tcPr>
            <w:tcW w:w="1459" w:type="dxa"/>
            <w:noWrap/>
            <w:vAlign w:val="center"/>
            <w:hideMark/>
          </w:tcPr>
          <w:p w:rsidR="00D571F9" w:rsidRPr="000E2D96" w:rsidRDefault="001948FC" w:rsidP="004D5574">
            <w:pPr>
              <w:pStyle w:val="BodyText"/>
              <w:widowControl w:val="0"/>
              <w:spacing w:before="20" w:after="20"/>
              <w:jc w:val="center"/>
              <w:rPr>
                <w:sz w:val="20"/>
              </w:rPr>
            </w:pPr>
            <w:r>
              <w:rPr>
                <w:sz w:val="20"/>
              </w:rPr>
              <w:t>29.1</w:t>
            </w:r>
          </w:p>
        </w:tc>
        <w:tc>
          <w:tcPr>
            <w:tcW w:w="1496" w:type="dxa"/>
            <w:noWrap/>
            <w:vAlign w:val="center"/>
            <w:hideMark/>
          </w:tcPr>
          <w:p w:rsidR="00D571F9" w:rsidRPr="000E2D96" w:rsidRDefault="00D571F9" w:rsidP="001948FC">
            <w:pPr>
              <w:pStyle w:val="BodyText"/>
              <w:widowControl w:val="0"/>
              <w:spacing w:before="20" w:after="20"/>
              <w:jc w:val="center"/>
              <w:rPr>
                <w:sz w:val="20"/>
              </w:rPr>
            </w:pPr>
            <w:r w:rsidRPr="000E2D96">
              <w:rPr>
                <w:sz w:val="20"/>
              </w:rPr>
              <w:t>0.</w:t>
            </w:r>
            <w:r w:rsidR="001948FC">
              <w:rPr>
                <w:sz w:val="20"/>
              </w:rPr>
              <w:t>04</w:t>
            </w:r>
          </w:p>
        </w:tc>
        <w:tc>
          <w:tcPr>
            <w:tcW w:w="1148" w:type="dxa"/>
            <w:noWrap/>
            <w:vAlign w:val="center"/>
            <w:hideMark/>
          </w:tcPr>
          <w:p w:rsidR="00D571F9" w:rsidRPr="000E2D96" w:rsidRDefault="001948FC" w:rsidP="004D5574">
            <w:pPr>
              <w:pStyle w:val="BodyText"/>
              <w:widowControl w:val="0"/>
              <w:spacing w:before="20" w:after="20"/>
              <w:jc w:val="center"/>
              <w:rPr>
                <w:sz w:val="20"/>
              </w:rPr>
            </w:pPr>
            <w:r>
              <w:rPr>
                <w:sz w:val="20"/>
              </w:rPr>
              <w:t>29.1</w:t>
            </w:r>
          </w:p>
        </w:tc>
        <w:tc>
          <w:tcPr>
            <w:tcW w:w="832" w:type="dxa"/>
            <w:noWrap/>
            <w:vAlign w:val="center"/>
            <w:hideMark/>
          </w:tcPr>
          <w:p w:rsidR="00D571F9" w:rsidRPr="000E2D96" w:rsidRDefault="00D571F9" w:rsidP="00D571F9">
            <w:pPr>
              <w:pStyle w:val="BodyText"/>
              <w:widowControl w:val="0"/>
              <w:spacing w:before="20" w:after="20"/>
              <w:jc w:val="center"/>
              <w:rPr>
                <w:sz w:val="20"/>
              </w:rPr>
            </w:pPr>
            <w:r w:rsidRPr="000E2D96">
              <w:rPr>
                <w:sz w:val="20"/>
              </w:rPr>
              <w:t>40</w:t>
            </w:r>
          </w:p>
        </w:tc>
        <w:tc>
          <w:tcPr>
            <w:tcW w:w="872" w:type="dxa"/>
            <w:vAlign w:val="center"/>
          </w:tcPr>
          <w:p w:rsidR="00D571F9" w:rsidRPr="000E2D96" w:rsidRDefault="00D571F9" w:rsidP="00D571F9">
            <w:pPr>
              <w:pStyle w:val="BodyText"/>
              <w:widowControl w:val="0"/>
              <w:spacing w:before="20" w:after="20"/>
              <w:jc w:val="center"/>
              <w:rPr>
                <w:sz w:val="20"/>
              </w:rPr>
            </w:pPr>
            <w:r>
              <w:rPr>
                <w:sz w:val="20"/>
              </w:rPr>
              <w:t>NO</w:t>
            </w:r>
          </w:p>
        </w:tc>
      </w:tr>
      <w:tr w:rsidR="00D571F9" w:rsidRPr="002274FF" w:rsidTr="00D571F9">
        <w:trPr>
          <w:trHeight w:val="300"/>
        </w:trPr>
        <w:tc>
          <w:tcPr>
            <w:tcW w:w="1284" w:type="dxa"/>
            <w:noWrap/>
            <w:vAlign w:val="center"/>
            <w:hideMark/>
          </w:tcPr>
          <w:p w:rsidR="00D571F9" w:rsidRPr="000E2D96" w:rsidRDefault="00D571F9" w:rsidP="00D571F9">
            <w:pPr>
              <w:pStyle w:val="BodyText"/>
              <w:widowControl w:val="0"/>
              <w:spacing w:before="20" w:after="20"/>
              <w:jc w:val="center"/>
              <w:rPr>
                <w:sz w:val="20"/>
              </w:rPr>
            </w:pPr>
            <w:r w:rsidRPr="000E2D96">
              <w:rPr>
                <w:sz w:val="20"/>
              </w:rPr>
              <w:t>PM</w:t>
            </w:r>
          </w:p>
        </w:tc>
        <w:tc>
          <w:tcPr>
            <w:tcW w:w="1486" w:type="dxa"/>
            <w:noWrap/>
            <w:vAlign w:val="center"/>
            <w:hideMark/>
          </w:tcPr>
          <w:p w:rsidR="00D571F9" w:rsidRPr="000E2D96" w:rsidRDefault="00D571F9" w:rsidP="00D571F9">
            <w:pPr>
              <w:pStyle w:val="BodyText"/>
              <w:widowControl w:val="0"/>
              <w:spacing w:before="20" w:after="20"/>
              <w:jc w:val="center"/>
              <w:rPr>
                <w:sz w:val="20"/>
              </w:rPr>
            </w:pPr>
            <w:r w:rsidRPr="000E2D96">
              <w:rPr>
                <w:sz w:val="20"/>
              </w:rPr>
              <w:t>2.2</w:t>
            </w:r>
          </w:p>
        </w:tc>
        <w:tc>
          <w:tcPr>
            <w:tcW w:w="1493" w:type="dxa"/>
            <w:noWrap/>
            <w:vAlign w:val="center"/>
            <w:hideMark/>
          </w:tcPr>
          <w:p w:rsidR="00D571F9" w:rsidRPr="000E2D96" w:rsidRDefault="001948FC" w:rsidP="00D571F9">
            <w:pPr>
              <w:pStyle w:val="BodyText"/>
              <w:widowControl w:val="0"/>
              <w:spacing w:before="20" w:after="20"/>
              <w:jc w:val="center"/>
              <w:rPr>
                <w:sz w:val="20"/>
              </w:rPr>
            </w:pPr>
            <w:r>
              <w:rPr>
                <w:sz w:val="20"/>
              </w:rPr>
              <w:t>15.2</w:t>
            </w:r>
          </w:p>
        </w:tc>
        <w:tc>
          <w:tcPr>
            <w:tcW w:w="1459" w:type="dxa"/>
            <w:noWrap/>
            <w:vAlign w:val="center"/>
            <w:hideMark/>
          </w:tcPr>
          <w:p w:rsidR="00D571F9" w:rsidRPr="000E2D96" w:rsidRDefault="001948FC" w:rsidP="00D571F9">
            <w:pPr>
              <w:pStyle w:val="BodyText"/>
              <w:widowControl w:val="0"/>
              <w:spacing w:before="20" w:after="20"/>
              <w:jc w:val="center"/>
              <w:rPr>
                <w:sz w:val="20"/>
              </w:rPr>
            </w:pPr>
            <w:r>
              <w:rPr>
                <w:sz w:val="20"/>
              </w:rPr>
              <w:t>14.3</w:t>
            </w:r>
          </w:p>
        </w:tc>
        <w:tc>
          <w:tcPr>
            <w:tcW w:w="1496" w:type="dxa"/>
            <w:noWrap/>
            <w:vAlign w:val="center"/>
            <w:hideMark/>
          </w:tcPr>
          <w:p w:rsidR="00D571F9" w:rsidRPr="000E2D96" w:rsidRDefault="00D571F9" w:rsidP="00D571F9">
            <w:pPr>
              <w:pStyle w:val="BodyText"/>
              <w:widowControl w:val="0"/>
              <w:spacing w:before="20" w:after="20"/>
              <w:jc w:val="center"/>
              <w:rPr>
                <w:sz w:val="20"/>
              </w:rPr>
            </w:pPr>
            <w:r w:rsidRPr="000E2D96">
              <w:rPr>
                <w:sz w:val="20"/>
              </w:rPr>
              <w:t>0.3</w:t>
            </w:r>
          </w:p>
        </w:tc>
        <w:tc>
          <w:tcPr>
            <w:tcW w:w="1148" w:type="dxa"/>
            <w:noWrap/>
            <w:vAlign w:val="center"/>
            <w:hideMark/>
          </w:tcPr>
          <w:p w:rsidR="00D571F9" w:rsidRPr="000E2D96" w:rsidRDefault="001948FC" w:rsidP="00D571F9">
            <w:pPr>
              <w:pStyle w:val="BodyText"/>
              <w:widowControl w:val="0"/>
              <w:spacing w:before="20" w:after="20"/>
              <w:jc w:val="center"/>
              <w:rPr>
                <w:sz w:val="20"/>
              </w:rPr>
            </w:pPr>
            <w:r>
              <w:rPr>
                <w:sz w:val="20"/>
              </w:rPr>
              <w:t>14.0</w:t>
            </w:r>
          </w:p>
        </w:tc>
        <w:tc>
          <w:tcPr>
            <w:tcW w:w="832" w:type="dxa"/>
            <w:noWrap/>
            <w:vAlign w:val="center"/>
            <w:hideMark/>
          </w:tcPr>
          <w:p w:rsidR="00D571F9" w:rsidRPr="000E2D96" w:rsidRDefault="00D571F9" w:rsidP="00D571F9">
            <w:pPr>
              <w:pStyle w:val="BodyText"/>
              <w:widowControl w:val="0"/>
              <w:spacing w:before="20" w:after="20"/>
              <w:jc w:val="center"/>
              <w:rPr>
                <w:sz w:val="20"/>
              </w:rPr>
            </w:pPr>
            <w:r w:rsidRPr="000E2D96">
              <w:rPr>
                <w:sz w:val="20"/>
              </w:rPr>
              <w:t>25</w:t>
            </w:r>
          </w:p>
        </w:tc>
        <w:tc>
          <w:tcPr>
            <w:tcW w:w="872" w:type="dxa"/>
            <w:noWrap/>
            <w:vAlign w:val="center"/>
          </w:tcPr>
          <w:p w:rsidR="00D571F9" w:rsidRDefault="00D571F9" w:rsidP="00D571F9">
            <w:pPr>
              <w:jc w:val="center"/>
            </w:pPr>
            <w:r w:rsidRPr="00DC7A68">
              <w:t>NO</w:t>
            </w:r>
          </w:p>
        </w:tc>
      </w:tr>
      <w:tr w:rsidR="00D571F9" w:rsidRPr="002274FF" w:rsidTr="00D571F9">
        <w:trPr>
          <w:trHeight w:val="315"/>
        </w:trPr>
        <w:tc>
          <w:tcPr>
            <w:tcW w:w="1284" w:type="dxa"/>
            <w:noWrap/>
            <w:vAlign w:val="center"/>
            <w:hideMark/>
          </w:tcPr>
          <w:p w:rsidR="00D571F9" w:rsidRPr="000E2D96" w:rsidRDefault="00D571F9" w:rsidP="00D571F9">
            <w:pPr>
              <w:pStyle w:val="BodyText"/>
              <w:widowControl w:val="0"/>
              <w:spacing w:before="20" w:after="20"/>
              <w:jc w:val="center"/>
              <w:rPr>
                <w:sz w:val="20"/>
              </w:rPr>
            </w:pPr>
            <w:r w:rsidRPr="000E2D96">
              <w:rPr>
                <w:sz w:val="20"/>
              </w:rPr>
              <w:t>PM</w:t>
            </w:r>
            <w:r w:rsidRPr="000E2D96">
              <w:rPr>
                <w:sz w:val="20"/>
                <w:vertAlign w:val="subscript"/>
              </w:rPr>
              <w:t>10</w:t>
            </w:r>
          </w:p>
        </w:tc>
        <w:tc>
          <w:tcPr>
            <w:tcW w:w="1486" w:type="dxa"/>
            <w:noWrap/>
            <w:vAlign w:val="center"/>
            <w:hideMark/>
          </w:tcPr>
          <w:p w:rsidR="00D571F9" w:rsidRPr="000E2D96" w:rsidRDefault="00D571F9" w:rsidP="00D571F9">
            <w:pPr>
              <w:pStyle w:val="BodyText"/>
              <w:widowControl w:val="0"/>
              <w:spacing w:before="20" w:after="20"/>
              <w:jc w:val="center"/>
              <w:rPr>
                <w:sz w:val="20"/>
              </w:rPr>
            </w:pPr>
            <w:r w:rsidRPr="000E2D96">
              <w:rPr>
                <w:sz w:val="20"/>
              </w:rPr>
              <w:t>2.2</w:t>
            </w:r>
          </w:p>
        </w:tc>
        <w:tc>
          <w:tcPr>
            <w:tcW w:w="1493" w:type="dxa"/>
            <w:noWrap/>
            <w:vAlign w:val="center"/>
            <w:hideMark/>
          </w:tcPr>
          <w:p w:rsidR="00D571F9" w:rsidRPr="000E2D96" w:rsidRDefault="001948FC" w:rsidP="00D571F9">
            <w:pPr>
              <w:pStyle w:val="BodyText"/>
              <w:widowControl w:val="0"/>
              <w:spacing w:before="20" w:after="20"/>
              <w:jc w:val="center"/>
              <w:rPr>
                <w:sz w:val="20"/>
              </w:rPr>
            </w:pPr>
            <w:r>
              <w:rPr>
                <w:sz w:val="20"/>
              </w:rPr>
              <w:t>15.2</w:t>
            </w:r>
          </w:p>
        </w:tc>
        <w:tc>
          <w:tcPr>
            <w:tcW w:w="1459" w:type="dxa"/>
            <w:noWrap/>
            <w:vAlign w:val="center"/>
            <w:hideMark/>
          </w:tcPr>
          <w:p w:rsidR="00D571F9" w:rsidRPr="000E2D96" w:rsidRDefault="001948FC" w:rsidP="00D571F9">
            <w:pPr>
              <w:pStyle w:val="BodyText"/>
              <w:widowControl w:val="0"/>
              <w:spacing w:before="20" w:after="20"/>
              <w:jc w:val="center"/>
              <w:rPr>
                <w:sz w:val="20"/>
              </w:rPr>
            </w:pPr>
            <w:r>
              <w:rPr>
                <w:sz w:val="20"/>
              </w:rPr>
              <w:t>14.3</w:t>
            </w:r>
          </w:p>
        </w:tc>
        <w:tc>
          <w:tcPr>
            <w:tcW w:w="1496" w:type="dxa"/>
            <w:noWrap/>
            <w:vAlign w:val="center"/>
            <w:hideMark/>
          </w:tcPr>
          <w:p w:rsidR="00D571F9" w:rsidRPr="000E2D96" w:rsidRDefault="00D571F9" w:rsidP="00D571F9">
            <w:pPr>
              <w:pStyle w:val="BodyText"/>
              <w:widowControl w:val="0"/>
              <w:spacing w:before="20" w:after="20"/>
              <w:jc w:val="center"/>
              <w:rPr>
                <w:sz w:val="20"/>
              </w:rPr>
            </w:pPr>
            <w:r w:rsidRPr="000E2D96">
              <w:rPr>
                <w:sz w:val="20"/>
              </w:rPr>
              <w:t>0.3</w:t>
            </w:r>
          </w:p>
        </w:tc>
        <w:tc>
          <w:tcPr>
            <w:tcW w:w="1148" w:type="dxa"/>
            <w:noWrap/>
            <w:vAlign w:val="center"/>
            <w:hideMark/>
          </w:tcPr>
          <w:p w:rsidR="00D571F9" w:rsidRPr="000E2D96" w:rsidRDefault="001948FC" w:rsidP="00D571F9">
            <w:pPr>
              <w:pStyle w:val="BodyText"/>
              <w:widowControl w:val="0"/>
              <w:spacing w:before="20" w:after="20"/>
              <w:jc w:val="center"/>
              <w:rPr>
                <w:sz w:val="20"/>
              </w:rPr>
            </w:pPr>
            <w:r>
              <w:rPr>
                <w:sz w:val="20"/>
              </w:rPr>
              <w:t>14.0</w:t>
            </w:r>
          </w:p>
        </w:tc>
        <w:tc>
          <w:tcPr>
            <w:tcW w:w="832" w:type="dxa"/>
            <w:noWrap/>
            <w:vAlign w:val="center"/>
            <w:hideMark/>
          </w:tcPr>
          <w:p w:rsidR="00D571F9" w:rsidRPr="000E2D96" w:rsidRDefault="00D571F9" w:rsidP="00D571F9">
            <w:pPr>
              <w:pStyle w:val="BodyText"/>
              <w:widowControl w:val="0"/>
              <w:spacing w:before="20" w:after="20"/>
              <w:jc w:val="center"/>
              <w:rPr>
                <w:sz w:val="20"/>
              </w:rPr>
            </w:pPr>
            <w:r w:rsidRPr="000E2D96">
              <w:rPr>
                <w:sz w:val="20"/>
              </w:rPr>
              <w:t>15</w:t>
            </w:r>
          </w:p>
        </w:tc>
        <w:tc>
          <w:tcPr>
            <w:tcW w:w="872" w:type="dxa"/>
            <w:noWrap/>
            <w:vAlign w:val="center"/>
          </w:tcPr>
          <w:p w:rsidR="00D571F9" w:rsidRDefault="00D571F9" w:rsidP="00D571F9">
            <w:pPr>
              <w:jc w:val="center"/>
            </w:pPr>
            <w:r w:rsidRPr="00DC7A68">
              <w:t>NO</w:t>
            </w:r>
          </w:p>
        </w:tc>
      </w:tr>
      <w:tr w:rsidR="00D571F9" w:rsidRPr="002274FF" w:rsidTr="00D571F9">
        <w:trPr>
          <w:trHeight w:val="315"/>
        </w:trPr>
        <w:tc>
          <w:tcPr>
            <w:tcW w:w="1284" w:type="dxa"/>
            <w:noWrap/>
            <w:vAlign w:val="center"/>
            <w:hideMark/>
          </w:tcPr>
          <w:p w:rsidR="00D571F9" w:rsidRPr="000E2D96" w:rsidRDefault="00D571F9" w:rsidP="00D571F9">
            <w:pPr>
              <w:pStyle w:val="BodyText"/>
              <w:widowControl w:val="0"/>
              <w:spacing w:before="20" w:after="20"/>
              <w:jc w:val="center"/>
              <w:rPr>
                <w:sz w:val="20"/>
              </w:rPr>
            </w:pPr>
            <w:r w:rsidRPr="000E2D96">
              <w:rPr>
                <w:sz w:val="20"/>
              </w:rPr>
              <w:t>PM</w:t>
            </w:r>
            <w:r w:rsidRPr="000E2D96">
              <w:rPr>
                <w:sz w:val="20"/>
                <w:vertAlign w:val="subscript"/>
              </w:rPr>
              <w:t>2.5</w:t>
            </w:r>
          </w:p>
        </w:tc>
        <w:tc>
          <w:tcPr>
            <w:tcW w:w="1486" w:type="dxa"/>
            <w:noWrap/>
            <w:vAlign w:val="center"/>
            <w:hideMark/>
          </w:tcPr>
          <w:p w:rsidR="00D571F9" w:rsidRPr="000E2D96" w:rsidRDefault="001948FC" w:rsidP="001948FC">
            <w:pPr>
              <w:pStyle w:val="BodyText"/>
              <w:widowControl w:val="0"/>
              <w:spacing w:before="20" w:after="20"/>
              <w:jc w:val="center"/>
              <w:rPr>
                <w:sz w:val="20"/>
              </w:rPr>
            </w:pPr>
            <w:r>
              <w:rPr>
                <w:sz w:val="20"/>
              </w:rPr>
              <w:t>3</w:t>
            </w:r>
            <w:r w:rsidR="00D571F9" w:rsidRPr="000E2D96">
              <w:rPr>
                <w:sz w:val="20"/>
              </w:rPr>
              <w:t>.</w:t>
            </w:r>
            <w:r>
              <w:rPr>
                <w:sz w:val="20"/>
              </w:rPr>
              <w:t>3</w:t>
            </w:r>
          </w:p>
        </w:tc>
        <w:tc>
          <w:tcPr>
            <w:tcW w:w="1493" w:type="dxa"/>
            <w:noWrap/>
            <w:vAlign w:val="center"/>
            <w:hideMark/>
          </w:tcPr>
          <w:p w:rsidR="00D571F9" w:rsidRPr="000E2D96" w:rsidRDefault="001948FC" w:rsidP="00D571F9">
            <w:pPr>
              <w:pStyle w:val="BodyText"/>
              <w:widowControl w:val="0"/>
              <w:spacing w:before="20" w:after="20"/>
              <w:jc w:val="center"/>
              <w:rPr>
                <w:sz w:val="20"/>
              </w:rPr>
            </w:pPr>
            <w:r>
              <w:rPr>
                <w:sz w:val="20"/>
              </w:rPr>
              <w:t>7.3</w:t>
            </w:r>
          </w:p>
        </w:tc>
        <w:tc>
          <w:tcPr>
            <w:tcW w:w="1459" w:type="dxa"/>
            <w:noWrap/>
            <w:vAlign w:val="center"/>
            <w:hideMark/>
          </w:tcPr>
          <w:p w:rsidR="00D571F9" w:rsidRPr="000E2D96" w:rsidRDefault="001948FC" w:rsidP="00D571F9">
            <w:pPr>
              <w:pStyle w:val="BodyText"/>
              <w:widowControl w:val="0"/>
              <w:spacing w:before="20" w:after="20"/>
              <w:jc w:val="center"/>
              <w:rPr>
                <w:sz w:val="20"/>
              </w:rPr>
            </w:pPr>
            <w:r>
              <w:rPr>
                <w:sz w:val="20"/>
              </w:rPr>
              <w:t>7.7</w:t>
            </w:r>
          </w:p>
        </w:tc>
        <w:tc>
          <w:tcPr>
            <w:tcW w:w="1496" w:type="dxa"/>
            <w:noWrap/>
            <w:vAlign w:val="center"/>
            <w:hideMark/>
          </w:tcPr>
          <w:p w:rsidR="00D571F9" w:rsidRPr="000E2D96" w:rsidRDefault="00D571F9" w:rsidP="00D571F9">
            <w:pPr>
              <w:pStyle w:val="BodyText"/>
              <w:widowControl w:val="0"/>
              <w:spacing w:before="20" w:after="20"/>
              <w:jc w:val="center"/>
              <w:rPr>
                <w:sz w:val="20"/>
              </w:rPr>
            </w:pPr>
            <w:r w:rsidRPr="000E2D96">
              <w:rPr>
                <w:sz w:val="20"/>
              </w:rPr>
              <w:t>0.3</w:t>
            </w:r>
          </w:p>
        </w:tc>
        <w:tc>
          <w:tcPr>
            <w:tcW w:w="1148" w:type="dxa"/>
            <w:noWrap/>
            <w:vAlign w:val="center"/>
            <w:hideMark/>
          </w:tcPr>
          <w:p w:rsidR="00D571F9" w:rsidRPr="000E2D96" w:rsidRDefault="001948FC" w:rsidP="00D571F9">
            <w:pPr>
              <w:pStyle w:val="BodyText"/>
              <w:widowControl w:val="0"/>
              <w:spacing w:before="20" w:after="20"/>
              <w:jc w:val="center"/>
              <w:rPr>
                <w:sz w:val="20"/>
              </w:rPr>
            </w:pPr>
            <w:r>
              <w:rPr>
                <w:sz w:val="20"/>
              </w:rPr>
              <w:t>7.4</w:t>
            </w:r>
          </w:p>
        </w:tc>
        <w:tc>
          <w:tcPr>
            <w:tcW w:w="832" w:type="dxa"/>
            <w:noWrap/>
            <w:vAlign w:val="center"/>
            <w:hideMark/>
          </w:tcPr>
          <w:p w:rsidR="00D571F9" w:rsidRPr="000E2D96" w:rsidRDefault="00D571F9" w:rsidP="00D571F9">
            <w:pPr>
              <w:pStyle w:val="BodyText"/>
              <w:widowControl w:val="0"/>
              <w:spacing w:before="20" w:after="20"/>
              <w:jc w:val="center"/>
              <w:rPr>
                <w:sz w:val="20"/>
              </w:rPr>
            </w:pPr>
            <w:r w:rsidRPr="000E2D96">
              <w:rPr>
                <w:sz w:val="20"/>
              </w:rPr>
              <w:t>10</w:t>
            </w:r>
          </w:p>
        </w:tc>
        <w:tc>
          <w:tcPr>
            <w:tcW w:w="872" w:type="dxa"/>
            <w:noWrap/>
            <w:vAlign w:val="center"/>
          </w:tcPr>
          <w:p w:rsidR="00D571F9" w:rsidRDefault="00D571F9" w:rsidP="00D571F9">
            <w:pPr>
              <w:jc w:val="center"/>
            </w:pPr>
            <w:r w:rsidRPr="00DC7A68">
              <w:t>NO</w:t>
            </w:r>
          </w:p>
        </w:tc>
      </w:tr>
      <w:tr w:rsidR="00D571F9" w:rsidRPr="002274FF" w:rsidTr="00D571F9">
        <w:trPr>
          <w:trHeight w:val="315"/>
        </w:trPr>
        <w:tc>
          <w:tcPr>
            <w:tcW w:w="1284" w:type="dxa"/>
            <w:noWrap/>
            <w:vAlign w:val="center"/>
            <w:hideMark/>
          </w:tcPr>
          <w:p w:rsidR="00D571F9" w:rsidRPr="000E2D96" w:rsidRDefault="00D571F9" w:rsidP="00D571F9">
            <w:pPr>
              <w:pStyle w:val="BodyText"/>
              <w:widowControl w:val="0"/>
              <w:spacing w:before="20" w:after="20"/>
              <w:jc w:val="center"/>
              <w:rPr>
                <w:sz w:val="20"/>
              </w:rPr>
            </w:pPr>
            <w:r w:rsidRPr="000E2D96">
              <w:rPr>
                <w:sz w:val="20"/>
              </w:rPr>
              <w:t>NO</w:t>
            </w:r>
            <w:r>
              <w:rPr>
                <w:sz w:val="20"/>
                <w:vertAlign w:val="subscript"/>
              </w:rPr>
              <w:t>X</w:t>
            </w:r>
          </w:p>
        </w:tc>
        <w:tc>
          <w:tcPr>
            <w:tcW w:w="1486" w:type="dxa"/>
            <w:noWrap/>
            <w:vAlign w:val="center"/>
            <w:hideMark/>
          </w:tcPr>
          <w:p w:rsidR="00D571F9" w:rsidRPr="000E2D96" w:rsidRDefault="00D571F9" w:rsidP="00D571F9">
            <w:pPr>
              <w:pStyle w:val="BodyText"/>
              <w:widowControl w:val="0"/>
              <w:spacing w:before="20" w:after="20"/>
              <w:jc w:val="center"/>
              <w:rPr>
                <w:sz w:val="20"/>
              </w:rPr>
            </w:pPr>
            <w:r w:rsidRPr="000E2D96">
              <w:rPr>
                <w:sz w:val="20"/>
              </w:rPr>
              <w:t>15.9</w:t>
            </w:r>
          </w:p>
        </w:tc>
        <w:tc>
          <w:tcPr>
            <w:tcW w:w="1493" w:type="dxa"/>
            <w:noWrap/>
            <w:vAlign w:val="center"/>
            <w:hideMark/>
          </w:tcPr>
          <w:p w:rsidR="00D571F9" w:rsidRPr="000E2D96" w:rsidRDefault="001948FC" w:rsidP="00D571F9">
            <w:pPr>
              <w:pStyle w:val="BodyText"/>
              <w:widowControl w:val="0"/>
              <w:spacing w:before="20" w:after="20"/>
              <w:jc w:val="center"/>
              <w:rPr>
                <w:sz w:val="20"/>
              </w:rPr>
            </w:pPr>
            <w:r>
              <w:rPr>
                <w:sz w:val="20"/>
              </w:rPr>
              <w:t>39.1</w:t>
            </w:r>
          </w:p>
        </w:tc>
        <w:tc>
          <w:tcPr>
            <w:tcW w:w="1459" w:type="dxa"/>
            <w:noWrap/>
            <w:vAlign w:val="center"/>
            <w:hideMark/>
          </w:tcPr>
          <w:p w:rsidR="00D571F9" w:rsidRPr="000E2D96" w:rsidRDefault="001948FC" w:rsidP="001948FC">
            <w:pPr>
              <w:pStyle w:val="BodyText"/>
              <w:widowControl w:val="0"/>
              <w:spacing w:before="20" w:after="20"/>
              <w:jc w:val="center"/>
              <w:rPr>
                <w:sz w:val="20"/>
              </w:rPr>
            </w:pPr>
            <w:r>
              <w:rPr>
                <w:sz w:val="20"/>
              </w:rPr>
              <w:t>40.6</w:t>
            </w:r>
          </w:p>
        </w:tc>
        <w:tc>
          <w:tcPr>
            <w:tcW w:w="1496" w:type="dxa"/>
            <w:noWrap/>
            <w:vAlign w:val="center"/>
            <w:hideMark/>
          </w:tcPr>
          <w:p w:rsidR="00D571F9" w:rsidRPr="000E2D96" w:rsidRDefault="00D571F9" w:rsidP="001948FC">
            <w:pPr>
              <w:pStyle w:val="BodyText"/>
              <w:widowControl w:val="0"/>
              <w:spacing w:before="20" w:after="20"/>
              <w:jc w:val="center"/>
              <w:rPr>
                <w:sz w:val="20"/>
              </w:rPr>
            </w:pPr>
            <w:r w:rsidRPr="000E2D96">
              <w:rPr>
                <w:sz w:val="20"/>
              </w:rPr>
              <w:t>3.</w:t>
            </w:r>
            <w:r w:rsidR="001948FC">
              <w:rPr>
                <w:sz w:val="20"/>
              </w:rPr>
              <w:t>2</w:t>
            </w:r>
          </w:p>
        </w:tc>
        <w:tc>
          <w:tcPr>
            <w:tcW w:w="1148" w:type="dxa"/>
            <w:noWrap/>
            <w:vAlign w:val="center"/>
            <w:hideMark/>
          </w:tcPr>
          <w:p w:rsidR="00D571F9" w:rsidRPr="000E2D96" w:rsidRDefault="001948FC" w:rsidP="00D571F9">
            <w:pPr>
              <w:pStyle w:val="BodyText"/>
              <w:widowControl w:val="0"/>
              <w:spacing w:before="20" w:after="20"/>
              <w:jc w:val="center"/>
              <w:rPr>
                <w:sz w:val="20"/>
              </w:rPr>
            </w:pPr>
            <w:r>
              <w:rPr>
                <w:sz w:val="20"/>
              </w:rPr>
              <w:t>37.4</w:t>
            </w:r>
          </w:p>
        </w:tc>
        <w:tc>
          <w:tcPr>
            <w:tcW w:w="832" w:type="dxa"/>
            <w:noWrap/>
            <w:vAlign w:val="center"/>
            <w:hideMark/>
          </w:tcPr>
          <w:p w:rsidR="00D571F9" w:rsidRPr="000E2D96" w:rsidRDefault="00D571F9" w:rsidP="00D571F9">
            <w:pPr>
              <w:pStyle w:val="BodyText"/>
              <w:widowControl w:val="0"/>
              <w:spacing w:before="20" w:after="20"/>
              <w:jc w:val="center"/>
              <w:rPr>
                <w:sz w:val="20"/>
              </w:rPr>
            </w:pPr>
            <w:r w:rsidRPr="000E2D96">
              <w:rPr>
                <w:sz w:val="20"/>
              </w:rPr>
              <w:t>40</w:t>
            </w:r>
          </w:p>
        </w:tc>
        <w:tc>
          <w:tcPr>
            <w:tcW w:w="872" w:type="dxa"/>
            <w:noWrap/>
            <w:vAlign w:val="center"/>
          </w:tcPr>
          <w:p w:rsidR="00D571F9" w:rsidRDefault="00D571F9" w:rsidP="00D571F9">
            <w:pPr>
              <w:jc w:val="center"/>
            </w:pPr>
            <w:r w:rsidRPr="00DC7A68">
              <w:t>NO</w:t>
            </w:r>
          </w:p>
        </w:tc>
      </w:tr>
      <w:tr w:rsidR="00D571F9" w:rsidRPr="002274FF" w:rsidTr="00D571F9">
        <w:trPr>
          <w:trHeight w:val="300"/>
        </w:trPr>
        <w:tc>
          <w:tcPr>
            <w:tcW w:w="1284" w:type="dxa"/>
            <w:noWrap/>
            <w:vAlign w:val="center"/>
            <w:hideMark/>
          </w:tcPr>
          <w:p w:rsidR="00D571F9" w:rsidRPr="000E2D96" w:rsidRDefault="00D571F9" w:rsidP="00D571F9">
            <w:pPr>
              <w:pStyle w:val="BodyText"/>
              <w:widowControl w:val="0"/>
              <w:spacing w:before="20" w:after="20"/>
              <w:jc w:val="center"/>
              <w:rPr>
                <w:sz w:val="20"/>
              </w:rPr>
            </w:pPr>
            <w:r w:rsidRPr="000E2D96">
              <w:rPr>
                <w:sz w:val="20"/>
              </w:rPr>
              <w:t>CO</w:t>
            </w:r>
          </w:p>
        </w:tc>
        <w:tc>
          <w:tcPr>
            <w:tcW w:w="1486" w:type="dxa"/>
            <w:noWrap/>
            <w:vAlign w:val="center"/>
            <w:hideMark/>
          </w:tcPr>
          <w:p w:rsidR="00D571F9" w:rsidRPr="000E2D96" w:rsidRDefault="00D571F9" w:rsidP="00D571F9">
            <w:pPr>
              <w:pStyle w:val="BodyText"/>
              <w:widowControl w:val="0"/>
              <w:spacing w:before="20" w:after="20"/>
              <w:jc w:val="center"/>
              <w:rPr>
                <w:sz w:val="20"/>
              </w:rPr>
            </w:pPr>
            <w:r w:rsidRPr="000E2D96">
              <w:rPr>
                <w:sz w:val="20"/>
              </w:rPr>
              <w:t>32.3</w:t>
            </w:r>
          </w:p>
        </w:tc>
        <w:tc>
          <w:tcPr>
            <w:tcW w:w="1493" w:type="dxa"/>
            <w:noWrap/>
            <w:vAlign w:val="center"/>
            <w:hideMark/>
          </w:tcPr>
          <w:p w:rsidR="00D571F9" w:rsidRPr="000E2D96" w:rsidRDefault="001948FC" w:rsidP="00D571F9">
            <w:pPr>
              <w:pStyle w:val="BodyText"/>
              <w:widowControl w:val="0"/>
              <w:spacing w:before="20" w:after="20"/>
              <w:jc w:val="center"/>
              <w:rPr>
                <w:sz w:val="20"/>
              </w:rPr>
            </w:pPr>
            <w:r>
              <w:rPr>
                <w:sz w:val="20"/>
              </w:rPr>
              <w:t>23.8</w:t>
            </w:r>
          </w:p>
        </w:tc>
        <w:tc>
          <w:tcPr>
            <w:tcW w:w="1459" w:type="dxa"/>
            <w:noWrap/>
            <w:vAlign w:val="center"/>
            <w:hideMark/>
          </w:tcPr>
          <w:p w:rsidR="00D571F9" w:rsidRPr="000E2D96" w:rsidRDefault="00D571F9" w:rsidP="001948FC">
            <w:pPr>
              <w:pStyle w:val="BodyText"/>
              <w:widowControl w:val="0"/>
              <w:spacing w:before="20" w:after="20"/>
              <w:jc w:val="center"/>
              <w:rPr>
                <w:sz w:val="20"/>
              </w:rPr>
            </w:pPr>
            <w:r w:rsidRPr="000E2D96">
              <w:rPr>
                <w:sz w:val="20"/>
              </w:rPr>
              <w:t>33.</w:t>
            </w:r>
            <w:r w:rsidR="001948FC">
              <w:rPr>
                <w:sz w:val="20"/>
              </w:rPr>
              <w:t>1</w:t>
            </w:r>
          </w:p>
        </w:tc>
        <w:tc>
          <w:tcPr>
            <w:tcW w:w="1496" w:type="dxa"/>
            <w:noWrap/>
            <w:vAlign w:val="center"/>
            <w:hideMark/>
          </w:tcPr>
          <w:p w:rsidR="00D571F9" w:rsidRPr="000E2D96" w:rsidRDefault="00D571F9" w:rsidP="00D571F9">
            <w:pPr>
              <w:pStyle w:val="BodyText"/>
              <w:widowControl w:val="0"/>
              <w:spacing w:before="20" w:after="20"/>
              <w:jc w:val="center"/>
              <w:rPr>
                <w:sz w:val="20"/>
              </w:rPr>
            </w:pPr>
            <w:r w:rsidRPr="000E2D96">
              <w:rPr>
                <w:sz w:val="20"/>
              </w:rPr>
              <w:t>3.5</w:t>
            </w:r>
          </w:p>
        </w:tc>
        <w:tc>
          <w:tcPr>
            <w:tcW w:w="1148" w:type="dxa"/>
            <w:noWrap/>
            <w:vAlign w:val="center"/>
            <w:hideMark/>
          </w:tcPr>
          <w:p w:rsidR="00D571F9" w:rsidRPr="000E2D96" w:rsidRDefault="001948FC" w:rsidP="00D571F9">
            <w:pPr>
              <w:pStyle w:val="BodyText"/>
              <w:widowControl w:val="0"/>
              <w:spacing w:before="20" w:after="20"/>
              <w:jc w:val="center"/>
              <w:rPr>
                <w:sz w:val="20"/>
              </w:rPr>
            </w:pPr>
            <w:r>
              <w:rPr>
                <w:sz w:val="20"/>
              </w:rPr>
              <w:t>29.6</w:t>
            </w:r>
          </w:p>
        </w:tc>
        <w:tc>
          <w:tcPr>
            <w:tcW w:w="832" w:type="dxa"/>
            <w:noWrap/>
            <w:vAlign w:val="center"/>
            <w:hideMark/>
          </w:tcPr>
          <w:p w:rsidR="00D571F9" w:rsidRPr="000E2D96" w:rsidRDefault="00D571F9" w:rsidP="00D571F9">
            <w:pPr>
              <w:pStyle w:val="BodyText"/>
              <w:widowControl w:val="0"/>
              <w:spacing w:before="20" w:after="20"/>
              <w:jc w:val="center"/>
              <w:rPr>
                <w:sz w:val="20"/>
              </w:rPr>
            </w:pPr>
            <w:r w:rsidRPr="000E2D96">
              <w:rPr>
                <w:sz w:val="20"/>
              </w:rPr>
              <w:t>100</w:t>
            </w:r>
          </w:p>
        </w:tc>
        <w:tc>
          <w:tcPr>
            <w:tcW w:w="872" w:type="dxa"/>
            <w:noWrap/>
            <w:vAlign w:val="center"/>
          </w:tcPr>
          <w:p w:rsidR="00D571F9" w:rsidRDefault="00D571F9" w:rsidP="00D571F9">
            <w:pPr>
              <w:jc w:val="center"/>
            </w:pPr>
            <w:r w:rsidRPr="00DC7A68">
              <w:t>NO</w:t>
            </w:r>
          </w:p>
        </w:tc>
      </w:tr>
      <w:tr w:rsidR="00D571F9" w:rsidRPr="002274FF" w:rsidTr="00D571F9">
        <w:trPr>
          <w:trHeight w:val="300"/>
        </w:trPr>
        <w:tc>
          <w:tcPr>
            <w:tcW w:w="1284" w:type="dxa"/>
            <w:noWrap/>
            <w:vAlign w:val="center"/>
            <w:hideMark/>
          </w:tcPr>
          <w:p w:rsidR="00D571F9" w:rsidRPr="000E2D96" w:rsidRDefault="00D571F9" w:rsidP="00D571F9">
            <w:pPr>
              <w:pStyle w:val="BodyText"/>
              <w:widowControl w:val="0"/>
              <w:spacing w:before="20" w:after="20"/>
              <w:jc w:val="center"/>
              <w:rPr>
                <w:sz w:val="20"/>
              </w:rPr>
            </w:pPr>
            <w:r w:rsidRPr="000E2D96">
              <w:rPr>
                <w:sz w:val="20"/>
              </w:rPr>
              <w:t>VOC</w:t>
            </w:r>
          </w:p>
        </w:tc>
        <w:tc>
          <w:tcPr>
            <w:tcW w:w="1486" w:type="dxa"/>
            <w:noWrap/>
            <w:vAlign w:val="center"/>
            <w:hideMark/>
          </w:tcPr>
          <w:p w:rsidR="00D571F9" w:rsidRPr="000E2D96" w:rsidRDefault="00D571F9" w:rsidP="00D571F9">
            <w:pPr>
              <w:pStyle w:val="BodyText"/>
              <w:widowControl w:val="0"/>
              <w:spacing w:before="20" w:after="20"/>
              <w:jc w:val="center"/>
              <w:rPr>
                <w:sz w:val="20"/>
              </w:rPr>
            </w:pPr>
            <w:r w:rsidRPr="000E2D96">
              <w:rPr>
                <w:sz w:val="20"/>
              </w:rPr>
              <w:t>2.4</w:t>
            </w:r>
          </w:p>
        </w:tc>
        <w:tc>
          <w:tcPr>
            <w:tcW w:w="1493" w:type="dxa"/>
            <w:noWrap/>
            <w:vAlign w:val="center"/>
            <w:hideMark/>
          </w:tcPr>
          <w:p w:rsidR="00D571F9" w:rsidRPr="000E2D96" w:rsidRDefault="00D571F9" w:rsidP="00D571F9">
            <w:pPr>
              <w:pStyle w:val="BodyText"/>
              <w:widowControl w:val="0"/>
              <w:spacing w:before="20" w:after="20"/>
              <w:jc w:val="center"/>
              <w:rPr>
                <w:sz w:val="20"/>
              </w:rPr>
            </w:pPr>
            <w:r w:rsidRPr="000E2D96">
              <w:rPr>
                <w:sz w:val="20"/>
              </w:rPr>
              <w:t>0.4</w:t>
            </w:r>
          </w:p>
        </w:tc>
        <w:tc>
          <w:tcPr>
            <w:tcW w:w="1459" w:type="dxa"/>
            <w:noWrap/>
            <w:vAlign w:val="center"/>
            <w:hideMark/>
          </w:tcPr>
          <w:p w:rsidR="00D571F9" w:rsidRPr="000E2D96" w:rsidRDefault="00D571F9" w:rsidP="001948FC">
            <w:pPr>
              <w:pStyle w:val="BodyText"/>
              <w:widowControl w:val="0"/>
              <w:spacing w:before="20" w:after="20"/>
              <w:jc w:val="center"/>
              <w:rPr>
                <w:sz w:val="20"/>
              </w:rPr>
            </w:pPr>
            <w:r w:rsidRPr="000E2D96">
              <w:rPr>
                <w:sz w:val="20"/>
              </w:rPr>
              <w:t>1.</w:t>
            </w:r>
            <w:r w:rsidR="001948FC">
              <w:rPr>
                <w:sz w:val="20"/>
              </w:rPr>
              <w:t>3</w:t>
            </w:r>
          </w:p>
        </w:tc>
        <w:tc>
          <w:tcPr>
            <w:tcW w:w="1496" w:type="dxa"/>
            <w:noWrap/>
            <w:vAlign w:val="center"/>
            <w:hideMark/>
          </w:tcPr>
          <w:p w:rsidR="00D571F9" w:rsidRPr="000E2D96" w:rsidRDefault="00D571F9" w:rsidP="00D571F9">
            <w:pPr>
              <w:pStyle w:val="BodyText"/>
              <w:widowControl w:val="0"/>
              <w:spacing w:before="20" w:after="20"/>
              <w:jc w:val="center"/>
              <w:rPr>
                <w:sz w:val="20"/>
              </w:rPr>
            </w:pPr>
            <w:r w:rsidRPr="000E2D96">
              <w:rPr>
                <w:sz w:val="20"/>
              </w:rPr>
              <w:t>0.2</w:t>
            </w:r>
          </w:p>
        </w:tc>
        <w:tc>
          <w:tcPr>
            <w:tcW w:w="1148" w:type="dxa"/>
            <w:noWrap/>
            <w:vAlign w:val="center"/>
            <w:hideMark/>
          </w:tcPr>
          <w:p w:rsidR="00D571F9" w:rsidRPr="000E2D96" w:rsidRDefault="001948FC" w:rsidP="00D571F9">
            <w:pPr>
              <w:pStyle w:val="BodyText"/>
              <w:widowControl w:val="0"/>
              <w:spacing w:before="20" w:after="20"/>
              <w:jc w:val="center"/>
              <w:rPr>
                <w:sz w:val="20"/>
              </w:rPr>
            </w:pPr>
            <w:r>
              <w:rPr>
                <w:sz w:val="20"/>
              </w:rPr>
              <w:t>1.1</w:t>
            </w:r>
          </w:p>
        </w:tc>
        <w:tc>
          <w:tcPr>
            <w:tcW w:w="832" w:type="dxa"/>
            <w:noWrap/>
            <w:vAlign w:val="center"/>
            <w:hideMark/>
          </w:tcPr>
          <w:p w:rsidR="00D571F9" w:rsidRPr="000E2D96" w:rsidRDefault="00D571F9" w:rsidP="00D571F9">
            <w:pPr>
              <w:pStyle w:val="BodyText"/>
              <w:widowControl w:val="0"/>
              <w:spacing w:before="20" w:after="20"/>
              <w:jc w:val="center"/>
              <w:rPr>
                <w:sz w:val="20"/>
              </w:rPr>
            </w:pPr>
            <w:r w:rsidRPr="000E2D96">
              <w:rPr>
                <w:sz w:val="20"/>
              </w:rPr>
              <w:t>40</w:t>
            </w:r>
          </w:p>
        </w:tc>
        <w:tc>
          <w:tcPr>
            <w:tcW w:w="872" w:type="dxa"/>
            <w:noWrap/>
            <w:vAlign w:val="center"/>
          </w:tcPr>
          <w:p w:rsidR="00D571F9" w:rsidRDefault="00D571F9" w:rsidP="00D571F9">
            <w:pPr>
              <w:jc w:val="center"/>
            </w:pPr>
            <w:r w:rsidRPr="00DC7A68">
              <w:t>NO</w:t>
            </w:r>
          </w:p>
        </w:tc>
      </w:tr>
      <w:tr w:rsidR="00D571F9" w:rsidRPr="002274FF" w:rsidTr="00D571F9">
        <w:trPr>
          <w:trHeight w:val="300"/>
        </w:trPr>
        <w:tc>
          <w:tcPr>
            <w:tcW w:w="1284" w:type="dxa"/>
            <w:noWrap/>
            <w:vAlign w:val="center"/>
            <w:hideMark/>
          </w:tcPr>
          <w:p w:rsidR="00D571F9" w:rsidRPr="000E2D96" w:rsidRDefault="00D571F9" w:rsidP="00D571F9">
            <w:pPr>
              <w:pStyle w:val="BodyText"/>
              <w:widowControl w:val="0"/>
              <w:spacing w:before="20" w:after="20"/>
              <w:jc w:val="center"/>
              <w:rPr>
                <w:sz w:val="20"/>
              </w:rPr>
            </w:pPr>
            <w:r w:rsidRPr="000E2D96">
              <w:rPr>
                <w:sz w:val="20"/>
              </w:rPr>
              <w:t>SAM</w:t>
            </w:r>
          </w:p>
        </w:tc>
        <w:tc>
          <w:tcPr>
            <w:tcW w:w="1486" w:type="dxa"/>
            <w:noWrap/>
            <w:vAlign w:val="center"/>
            <w:hideMark/>
          </w:tcPr>
          <w:p w:rsidR="00D571F9" w:rsidRPr="000E2D96" w:rsidRDefault="00D571F9" w:rsidP="00D571F9">
            <w:pPr>
              <w:pStyle w:val="BodyText"/>
              <w:widowControl w:val="0"/>
              <w:spacing w:before="20" w:after="20"/>
              <w:jc w:val="center"/>
              <w:rPr>
                <w:sz w:val="20"/>
              </w:rPr>
            </w:pPr>
            <w:r w:rsidRPr="000E2D96">
              <w:rPr>
                <w:sz w:val="20"/>
              </w:rPr>
              <w:t>0.4</w:t>
            </w:r>
          </w:p>
        </w:tc>
        <w:tc>
          <w:tcPr>
            <w:tcW w:w="1493" w:type="dxa"/>
            <w:noWrap/>
            <w:vAlign w:val="center"/>
            <w:hideMark/>
          </w:tcPr>
          <w:p w:rsidR="00D571F9" w:rsidRPr="000E2D96" w:rsidRDefault="001948FC" w:rsidP="00D571F9">
            <w:pPr>
              <w:pStyle w:val="BodyText"/>
              <w:widowControl w:val="0"/>
              <w:spacing w:before="20" w:after="20"/>
              <w:jc w:val="center"/>
              <w:rPr>
                <w:sz w:val="20"/>
              </w:rPr>
            </w:pPr>
            <w:r>
              <w:rPr>
                <w:sz w:val="20"/>
              </w:rPr>
              <w:t>4.9</w:t>
            </w:r>
          </w:p>
        </w:tc>
        <w:tc>
          <w:tcPr>
            <w:tcW w:w="1459" w:type="dxa"/>
            <w:noWrap/>
            <w:vAlign w:val="center"/>
            <w:hideMark/>
          </w:tcPr>
          <w:p w:rsidR="00D571F9" w:rsidRPr="000E2D96" w:rsidRDefault="001948FC" w:rsidP="00D571F9">
            <w:pPr>
              <w:pStyle w:val="BodyText"/>
              <w:widowControl w:val="0"/>
              <w:spacing w:before="20" w:after="20"/>
              <w:jc w:val="center"/>
              <w:rPr>
                <w:sz w:val="20"/>
              </w:rPr>
            </w:pPr>
            <w:r>
              <w:rPr>
                <w:sz w:val="20"/>
              </w:rPr>
              <w:t>4.5</w:t>
            </w:r>
          </w:p>
        </w:tc>
        <w:tc>
          <w:tcPr>
            <w:tcW w:w="1496" w:type="dxa"/>
            <w:noWrap/>
            <w:vAlign w:val="center"/>
            <w:hideMark/>
          </w:tcPr>
          <w:p w:rsidR="00D571F9" w:rsidRPr="000E2D96" w:rsidRDefault="00D571F9" w:rsidP="00D571F9">
            <w:pPr>
              <w:pStyle w:val="BodyText"/>
              <w:widowControl w:val="0"/>
              <w:spacing w:before="20" w:after="20"/>
              <w:jc w:val="center"/>
              <w:rPr>
                <w:sz w:val="20"/>
              </w:rPr>
            </w:pPr>
            <w:r w:rsidRPr="000E2D96">
              <w:rPr>
                <w:sz w:val="20"/>
              </w:rPr>
              <w:t>0.0</w:t>
            </w:r>
          </w:p>
        </w:tc>
        <w:tc>
          <w:tcPr>
            <w:tcW w:w="1148" w:type="dxa"/>
            <w:noWrap/>
            <w:vAlign w:val="center"/>
            <w:hideMark/>
          </w:tcPr>
          <w:p w:rsidR="00D571F9" w:rsidRPr="000E2D96" w:rsidRDefault="001948FC" w:rsidP="00D571F9">
            <w:pPr>
              <w:pStyle w:val="BodyText"/>
              <w:widowControl w:val="0"/>
              <w:spacing w:before="20" w:after="20"/>
              <w:jc w:val="center"/>
              <w:rPr>
                <w:sz w:val="20"/>
              </w:rPr>
            </w:pPr>
            <w:r>
              <w:rPr>
                <w:sz w:val="20"/>
              </w:rPr>
              <w:t>4.5</w:t>
            </w:r>
          </w:p>
        </w:tc>
        <w:tc>
          <w:tcPr>
            <w:tcW w:w="832" w:type="dxa"/>
            <w:noWrap/>
            <w:vAlign w:val="center"/>
            <w:hideMark/>
          </w:tcPr>
          <w:p w:rsidR="00D571F9" w:rsidRPr="000E2D96" w:rsidRDefault="00D571F9" w:rsidP="00D571F9">
            <w:pPr>
              <w:pStyle w:val="BodyText"/>
              <w:widowControl w:val="0"/>
              <w:spacing w:before="20" w:after="20"/>
              <w:jc w:val="center"/>
              <w:rPr>
                <w:sz w:val="20"/>
              </w:rPr>
            </w:pPr>
            <w:r w:rsidRPr="000E2D96">
              <w:rPr>
                <w:sz w:val="20"/>
              </w:rPr>
              <w:t>7</w:t>
            </w:r>
          </w:p>
        </w:tc>
        <w:tc>
          <w:tcPr>
            <w:tcW w:w="872" w:type="dxa"/>
            <w:noWrap/>
            <w:vAlign w:val="center"/>
          </w:tcPr>
          <w:p w:rsidR="00D571F9" w:rsidRDefault="00D571F9" w:rsidP="00D571F9">
            <w:pPr>
              <w:jc w:val="center"/>
            </w:pPr>
            <w:r w:rsidRPr="00DC7A68">
              <w:t>NO</w:t>
            </w:r>
          </w:p>
        </w:tc>
      </w:tr>
      <w:tr w:rsidR="00D571F9" w:rsidRPr="002274FF" w:rsidTr="00D571F9">
        <w:trPr>
          <w:trHeight w:val="300"/>
        </w:trPr>
        <w:tc>
          <w:tcPr>
            <w:tcW w:w="1284" w:type="dxa"/>
            <w:noWrap/>
            <w:vAlign w:val="center"/>
            <w:hideMark/>
          </w:tcPr>
          <w:p w:rsidR="00D571F9" w:rsidRPr="000E2D96" w:rsidRDefault="00D571F9" w:rsidP="00D571F9">
            <w:pPr>
              <w:pStyle w:val="BodyText"/>
              <w:widowControl w:val="0"/>
              <w:spacing w:before="20" w:after="20"/>
              <w:jc w:val="center"/>
              <w:rPr>
                <w:sz w:val="20"/>
              </w:rPr>
            </w:pPr>
            <w:r w:rsidRPr="000E2D96">
              <w:rPr>
                <w:sz w:val="20"/>
              </w:rPr>
              <w:t>Lead</w:t>
            </w:r>
          </w:p>
        </w:tc>
        <w:tc>
          <w:tcPr>
            <w:tcW w:w="1486" w:type="dxa"/>
            <w:noWrap/>
            <w:vAlign w:val="center"/>
            <w:hideMark/>
          </w:tcPr>
          <w:p w:rsidR="00D571F9" w:rsidRPr="000E2D96" w:rsidRDefault="00D571F9" w:rsidP="00D571F9">
            <w:pPr>
              <w:pStyle w:val="BodyText"/>
              <w:widowControl w:val="0"/>
              <w:spacing w:before="20" w:after="20"/>
              <w:jc w:val="center"/>
              <w:rPr>
                <w:sz w:val="20"/>
              </w:rPr>
            </w:pPr>
            <w:r w:rsidRPr="000E2D96">
              <w:rPr>
                <w:sz w:val="20"/>
              </w:rPr>
              <w:t>0.002</w:t>
            </w:r>
          </w:p>
        </w:tc>
        <w:tc>
          <w:tcPr>
            <w:tcW w:w="1493" w:type="dxa"/>
            <w:noWrap/>
            <w:vAlign w:val="center"/>
            <w:hideMark/>
          </w:tcPr>
          <w:p w:rsidR="00D571F9" w:rsidRPr="000E2D96" w:rsidRDefault="00D571F9" w:rsidP="00D571F9">
            <w:pPr>
              <w:pStyle w:val="BodyText"/>
              <w:widowControl w:val="0"/>
              <w:spacing w:before="20" w:after="20"/>
              <w:jc w:val="center"/>
              <w:rPr>
                <w:sz w:val="20"/>
              </w:rPr>
            </w:pPr>
            <w:r w:rsidRPr="000E2D96">
              <w:rPr>
                <w:sz w:val="20"/>
              </w:rPr>
              <w:t>0.003</w:t>
            </w:r>
          </w:p>
        </w:tc>
        <w:tc>
          <w:tcPr>
            <w:tcW w:w="1459" w:type="dxa"/>
            <w:noWrap/>
            <w:vAlign w:val="center"/>
            <w:hideMark/>
          </w:tcPr>
          <w:p w:rsidR="00D571F9" w:rsidRPr="000E2D96" w:rsidRDefault="00D571F9" w:rsidP="00D571F9">
            <w:pPr>
              <w:pStyle w:val="BodyText"/>
              <w:widowControl w:val="0"/>
              <w:spacing w:before="20" w:after="20"/>
              <w:jc w:val="center"/>
              <w:rPr>
                <w:sz w:val="20"/>
              </w:rPr>
            </w:pPr>
            <w:r w:rsidRPr="000E2D96">
              <w:rPr>
                <w:sz w:val="20"/>
              </w:rPr>
              <w:t>0.003</w:t>
            </w:r>
          </w:p>
        </w:tc>
        <w:tc>
          <w:tcPr>
            <w:tcW w:w="1496" w:type="dxa"/>
            <w:noWrap/>
            <w:vAlign w:val="center"/>
            <w:hideMark/>
          </w:tcPr>
          <w:p w:rsidR="00D571F9" w:rsidRPr="000E2D96" w:rsidRDefault="00D571F9" w:rsidP="00D571F9">
            <w:pPr>
              <w:pStyle w:val="BodyText"/>
              <w:widowControl w:val="0"/>
              <w:spacing w:before="20" w:after="20"/>
              <w:jc w:val="center"/>
              <w:rPr>
                <w:sz w:val="20"/>
              </w:rPr>
            </w:pPr>
            <w:r w:rsidRPr="000E2D96">
              <w:rPr>
                <w:sz w:val="20"/>
              </w:rPr>
              <w:t>0.001</w:t>
            </w:r>
          </w:p>
        </w:tc>
        <w:tc>
          <w:tcPr>
            <w:tcW w:w="1148" w:type="dxa"/>
            <w:noWrap/>
            <w:vAlign w:val="center"/>
            <w:hideMark/>
          </w:tcPr>
          <w:p w:rsidR="00D571F9" w:rsidRPr="000E2D96" w:rsidRDefault="00D571F9" w:rsidP="00D571F9">
            <w:pPr>
              <w:pStyle w:val="BodyText"/>
              <w:widowControl w:val="0"/>
              <w:spacing w:before="20" w:after="20"/>
              <w:jc w:val="center"/>
              <w:rPr>
                <w:sz w:val="20"/>
              </w:rPr>
            </w:pPr>
            <w:r w:rsidRPr="000E2D96">
              <w:rPr>
                <w:sz w:val="20"/>
              </w:rPr>
              <w:t>0.00</w:t>
            </w:r>
          </w:p>
        </w:tc>
        <w:tc>
          <w:tcPr>
            <w:tcW w:w="832" w:type="dxa"/>
            <w:noWrap/>
            <w:vAlign w:val="center"/>
            <w:hideMark/>
          </w:tcPr>
          <w:p w:rsidR="00D571F9" w:rsidRPr="000E2D96" w:rsidRDefault="00D571F9" w:rsidP="00D571F9">
            <w:pPr>
              <w:pStyle w:val="BodyText"/>
              <w:widowControl w:val="0"/>
              <w:spacing w:before="20" w:after="20"/>
              <w:jc w:val="center"/>
              <w:rPr>
                <w:sz w:val="20"/>
              </w:rPr>
            </w:pPr>
            <w:r w:rsidRPr="000E2D96">
              <w:rPr>
                <w:sz w:val="20"/>
              </w:rPr>
              <w:t>0.6</w:t>
            </w:r>
          </w:p>
        </w:tc>
        <w:tc>
          <w:tcPr>
            <w:tcW w:w="872" w:type="dxa"/>
            <w:noWrap/>
            <w:vAlign w:val="center"/>
          </w:tcPr>
          <w:p w:rsidR="00D571F9" w:rsidRDefault="00D571F9" w:rsidP="00D571F9">
            <w:pPr>
              <w:jc w:val="center"/>
            </w:pPr>
            <w:r w:rsidRPr="00DC7A68">
              <w:t>NO</w:t>
            </w:r>
          </w:p>
        </w:tc>
      </w:tr>
      <w:tr w:rsidR="00D571F9" w:rsidRPr="002274FF" w:rsidTr="00D571F9">
        <w:trPr>
          <w:trHeight w:val="330"/>
        </w:trPr>
        <w:tc>
          <w:tcPr>
            <w:tcW w:w="1284" w:type="dxa"/>
            <w:noWrap/>
            <w:vAlign w:val="center"/>
            <w:hideMark/>
          </w:tcPr>
          <w:p w:rsidR="00D571F9" w:rsidRPr="000E2D96" w:rsidRDefault="00D571F9" w:rsidP="00D571F9">
            <w:pPr>
              <w:pStyle w:val="BodyText"/>
              <w:widowControl w:val="0"/>
              <w:spacing w:before="20" w:after="20"/>
              <w:jc w:val="center"/>
              <w:rPr>
                <w:sz w:val="20"/>
              </w:rPr>
            </w:pPr>
            <w:r w:rsidRPr="000E2D96">
              <w:rPr>
                <w:sz w:val="20"/>
              </w:rPr>
              <w:t>CO2e</w:t>
            </w:r>
            <w:r>
              <w:rPr>
                <w:sz w:val="20"/>
              </w:rPr>
              <w:t xml:space="preserve"> </w:t>
            </w:r>
            <w:r w:rsidRPr="000E2D96">
              <w:rPr>
                <w:b/>
                <w:sz w:val="20"/>
                <w:vertAlign w:val="superscript"/>
              </w:rPr>
              <w:t>b</w:t>
            </w:r>
          </w:p>
        </w:tc>
        <w:tc>
          <w:tcPr>
            <w:tcW w:w="1486" w:type="dxa"/>
            <w:noWrap/>
            <w:vAlign w:val="center"/>
            <w:hideMark/>
          </w:tcPr>
          <w:p w:rsidR="00D571F9" w:rsidRPr="000E2D96" w:rsidRDefault="00D571F9" w:rsidP="00D571F9">
            <w:pPr>
              <w:pStyle w:val="BodyText"/>
              <w:widowControl w:val="0"/>
              <w:spacing w:before="20" w:after="20"/>
              <w:jc w:val="center"/>
              <w:rPr>
                <w:sz w:val="20"/>
              </w:rPr>
            </w:pPr>
            <w:r w:rsidRPr="000E2D96">
              <w:rPr>
                <w:sz w:val="20"/>
              </w:rPr>
              <w:t>51,223</w:t>
            </w:r>
          </w:p>
        </w:tc>
        <w:tc>
          <w:tcPr>
            <w:tcW w:w="1493" w:type="dxa"/>
            <w:noWrap/>
            <w:vAlign w:val="center"/>
            <w:hideMark/>
          </w:tcPr>
          <w:p w:rsidR="00D571F9" w:rsidRPr="000E2D96" w:rsidRDefault="00D571F9" w:rsidP="001948FC">
            <w:pPr>
              <w:pStyle w:val="BodyText"/>
              <w:widowControl w:val="0"/>
              <w:spacing w:before="20" w:after="20"/>
              <w:jc w:val="center"/>
              <w:rPr>
                <w:sz w:val="20"/>
              </w:rPr>
            </w:pPr>
            <w:r w:rsidRPr="000E2D96">
              <w:rPr>
                <w:sz w:val="20"/>
              </w:rPr>
              <w:t>4</w:t>
            </w:r>
            <w:r w:rsidR="001948FC">
              <w:rPr>
                <w:sz w:val="20"/>
              </w:rPr>
              <w:t>9</w:t>
            </w:r>
            <w:r w:rsidRPr="000E2D96">
              <w:rPr>
                <w:sz w:val="20"/>
              </w:rPr>
              <w:t>,</w:t>
            </w:r>
            <w:r w:rsidR="001948FC">
              <w:rPr>
                <w:sz w:val="20"/>
              </w:rPr>
              <w:t>858</w:t>
            </w:r>
          </w:p>
        </w:tc>
        <w:tc>
          <w:tcPr>
            <w:tcW w:w="1459" w:type="dxa"/>
            <w:noWrap/>
            <w:vAlign w:val="center"/>
            <w:hideMark/>
          </w:tcPr>
          <w:p w:rsidR="00D571F9" w:rsidRPr="000E2D96" w:rsidRDefault="001948FC" w:rsidP="00D571F9">
            <w:pPr>
              <w:pStyle w:val="BodyText"/>
              <w:widowControl w:val="0"/>
              <w:spacing w:before="20" w:after="20"/>
              <w:jc w:val="center"/>
              <w:rPr>
                <w:sz w:val="20"/>
              </w:rPr>
            </w:pPr>
            <w:r>
              <w:rPr>
                <w:sz w:val="20"/>
              </w:rPr>
              <w:t>63,291</w:t>
            </w:r>
          </w:p>
        </w:tc>
        <w:tc>
          <w:tcPr>
            <w:tcW w:w="1496" w:type="dxa"/>
            <w:noWrap/>
            <w:vAlign w:val="center"/>
            <w:hideMark/>
          </w:tcPr>
          <w:p w:rsidR="00D571F9" w:rsidRPr="000E2D96" w:rsidRDefault="00D571F9" w:rsidP="00D571F9">
            <w:pPr>
              <w:pStyle w:val="BodyText"/>
              <w:widowControl w:val="0"/>
              <w:spacing w:before="20" w:after="20"/>
              <w:jc w:val="center"/>
              <w:rPr>
                <w:sz w:val="20"/>
              </w:rPr>
            </w:pPr>
            <w:r w:rsidRPr="000E2D96">
              <w:rPr>
                <w:sz w:val="20"/>
              </w:rPr>
              <w:t>0.0</w:t>
            </w:r>
          </w:p>
        </w:tc>
        <w:tc>
          <w:tcPr>
            <w:tcW w:w="1148" w:type="dxa"/>
            <w:noWrap/>
            <w:vAlign w:val="center"/>
            <w:hideMark/>
          </w:tcPr>
          <w:p w:rsidR="00D571F9" w:rsidRPr="000E2D96" w:rsidRDefault="001948FC" w:rsidP="00D571F9">
            <w:pPr>
              <w:pStyle w:val="BodyText"/>
              <w:widowControl w:val="0"/>
              <w:spacing w:before="20" w:after="20"/>
              <w:jc w:val="center"/>
              <w:rPr>
                <w:sz w:val="20"/>
              </w:rPr>
            </w:pPr>
            <w:r>
              <w:rPr>
                <w:sz w:val="20"/>
              </w:rPr>
              <w:t>63,291</w:t>
            </w:r>
          </w:p>
        </w:tc>
        <w:tc>
          <w:tcPr>
            <w:tcW w:w="832" w:type="dxa"/>
            <w:noWrap/>
            <w:vAlign w:val="center"/>
            <w:hideMark/>
          </w:tcPr>
          <w:p w:rsidR="00D571F9" w:rsidRPr="000E2D96" w:rsidRDefault="00D571F9" w:rsidP="00D571F9">
            <w:pPr>
              <w:pStyle w:val="BodyText"/>
              <w:widowControl w:val="0"/>
              <w:spacing w:before="20" w:after="20"/>
              <w:jc w:val="center"/>
              <w:rPr>
                <w:sz w:val="20"/>
              </w:rPr>
            </w:pPr>
            <w:r w:rsidRPr="000E2D96">
              <w:rPr>
                <w:sz w:val="20"/>
              </w:rPr>
              <w:t>75,000</w:t>
            </w:r>
          </w:p>
        </w:tc>
        <w:tc>
          <w:tcPr>
            <w:tcW w:w="872" w:type="dxa"/>
            <w:noWrap/>
            <w:vAlign w:val="center"/>
          </w:tcPr>
          <w:p w:rsidR="00D571F9" w:rsidRDefault="00D571F9" w:rsidP="00D571F9">
            <w:pPr>
              <w:jc w:val="center"/>
            </w:pPr>
            <w:r w:rsidRPr="00DC7A68">
              <w:t>NO</w:t>
            </w:r>
          </w:p>
        </w:tc>
      </w:tr>
      <w:tr w:rsidR="00D571F9" w:rsidRPr="002274FF" w:rsidTr="00D571F9">
        <w:trPr>
          <w:trHeight w:val="818"/>
        </w:trPr>
        <w:tc>
          <w:tcPr>
            <w:tcW w:w="10070" w:type="dxa"/>
            <w:gridSpan w:val="8"/>
            <w:noWrap/>
            <w:hideMark/>
          </w:tcPr>
          <w:p w:rsidR="001948FC" w:rsidRDefault="001948FC" w:rsidP="001948FC">
            <w:pPr>
              <w:pStyle w:val="BodyText"/>
              <w:widowControl w:val="0"/>
              <w:numPr>
                <w:ilvl w:val="0"/>
                <w:numId w:val="23"/>
              </w:numPr>
              <w:spacing w:before="20" w:after="20"/>
              <w:ind w:left="337"/>
              <w:rPr>
                <w:sz w:val="18"/>
                <w:szCs w:val="18"/>
              </w:rPr>
            </w:pPr>
            <w:r w:rsidRPr="001948FC">
              <w:rPr>
                <w:sz w:val="18"/>
                <w:szCs w:val="18"/>
              </w:rPr>
              <w:t>Based on unlimited use (8,760 hours per year) of natural gas</w:t>
            </w:r>
          </w:p>
          <w:p w:rsidR="001948FC" w:rsidRDefault="001948FC" w:rsidP="001948FC">
            <w:pPr>
              <w:pStyle w:val="BodyText"/>
              <w:widowControl w:val="0"/>
              <w:numPr>
                <w:ilvl w:val="0"/>
                <w:numId w:val="23"/>
              </w:numPr>
              <w:spacing w:before="20" w:after="20"/>
              <w:ind w:left="337"/>
              <w:rPr>
                <w:sz w:val="18"/>
                <w:szCs w:val="18"/>
              </w:rPr>
            </w:pPr>
            <w:r>
              <w:rPr>
                <w:sz w:val="18"/>
                <w:szCs w:val="18"/>
              </w:rPr>
              <w:t>Based on maximum oil firing of 6,200 hours per year.</w:t>
            </w:r>
          </w:p>
          <w:p w:rsidR="001948FC" w:rsidRPr="001948FC" w:rsidRDefault="001948FC" w:rsidP="001948FC">
            <w:pPr>
              <w:pStyle w:val="BodyText"/>
              <w:widowControl w:val="0"/>
              <w:numPr>
                <w:ilvl w:val="0"/>
                <w:numId w:val="23"/>
              </w:numPr>
              <w:spacing w:before="20" w:after="20"/>
              <w:ind w:left="337"/>
              <w:rPr>
                <w:sz w:val="18"/>
                <w:szCs w:val="18"/>
              </w:rPr>
            </w:pPr>
            <w:r>
              <w:rPr>
                <w:sz w:val="18"/>
                <w:szCs w:val="18"/>
              </w:rPr>
              <w:t>Based on unlimited operation with maximum gas firing of 3,</w:t>
            </w:r>
            <w:r w:rsidR="00885A57">
              <w:rPr>
                <w:sz w:val="18"/>
                <w:szCs w:val="18"/>
              </w:rPr>
              <w:t>26</w:t>
            </w:r>
            <w:r>
              <w:rPr>
                <w:sz w:val="18"/>
                <w:szCs w:val="18"/>
              </w:rPr>
              <w:t>0 hours per year and maximum oil firing of 5,500 hours per year.</w:t>
            </w:r>
          </w:p>
          <w:p w:rsidR="00D571F9" w:rsidRPr="001948FC" w:rsidRDefault="00D571F9" w:rsidP="00D571F9">
            <w:pPr>
              <w:pStyle w:val="BodyText"/>
              <w:widowControl w:val="0"/>
              <w:numPr>
                <w:ilvl w:val="0"/>
                <w:numId w:val="23"/>
              </w:numPr>
              <w:spacing w:before="20" w:after="20"/>
              <w:ind w:left="337"/>
              <w:rPr>
                <w:sz w:val="18"/>
                <w:szCs w:val="18"/>
              </w:rPr>
            </w:pPr>
            <w:r w:rsidRPr="004D5574">
              <w:rPr>
                <w:sz w:val="18"/>
                <w:szCs w:val="18"/>
              </w:rPr>
              <w:t>Based on actual emissions from Annual Operating Reports from 2008-2012.</w:t>
            </w:r>
          </w:p>
        </w:tc>
      </w:tr>
    </w:tbl>
    <w:p w:rsidR="00E37F22" w:rsidRDefault="00E37F22" w:rsidP="00FA36F8">
      <w:pPr>
        <w:pStyle w:val="ListParagraph"/>
        <w:numPr>
          <w:ilvl w:val="0"/>
          <w:numId w:val="14"/>
        </w:numPr>
        <w:spacing w:before="120" w:after="120"/>
        <w:ind w:left="720" w:hanging="720"/>
        <w:contextualSpacing w:val="0"/>
        <w:rPr>
          <w:b/>
          <w:caps/>
          <w:sz w:val="22"/>
        </w:rPr>
      </w:pPr>
      <w:r>
        <w:rPr>
          <w:b/>
          <w:caps/>
          <w:sz w:val="22"/>
        </w:rPr>
        <w:t>DEPARTMENT’S REVIEW</w:t>
      </w:r>
    </w:p>
    <w:p w:rsidR="003A2A49" w:rsidRDefault="00B73AE4" w:rsidP="007C5C58">
      <w:pPr>
        <w:widowControl w:val="0"/>
        <w:spacing w:after="120"/>
        <w:rPr>
          <w:sz w:val="22"/>
        </w:rPr>
      </w:pPr>
      <w:r>
        <w:rPr>
          <w:sz w:val="22"/>
        </w:rPr>
        <w:t xml:space="preserve">The Department agrees that with the hourly fuel usage limitations proposed by DEF, the boiler replacement project will not trigger PSD.  </w:t>
      </w:r>
      <w:r w:rsidR="003A2A49">
        <w:rPr>
          <w:sz w:val="22"/>
        </w:rPr>
        <w:t xml:space="preserve">In addition, it is clear from </w:t>
      </w:r>
      <w:r w:rsidR="003A2A49" w:rsidRPr="00747DCC">
        <w:rPr>
          <w:b/>
          <w:sz w:val="22"/>
        </w:rPr>
        <w:fldChar w:fldCharType="begin"/>
      </w:r>
      <w:r w:rsidR="003A2A49" w:rsidRPr="00747DCC">
        <w:rPr>
          <w:b/>
          <w:sz w:val="22"/>
        </w:rPr>
        <w:instrText xml:space="preserve"> REF _Ref381689325 \h  \* MERGEFORMAT </w:instrText>
      </w:r>
      <w:r w:rsidR="003A2A49" w:rsidRPr="00747DCC">
        <w:rPr>
          <w:b/>
          <w:sz w:val="22"/>
        </w:rPr>
      </w:r>
      <w:r w:rsidR="003A2A49" w:rsidRPr="00747DCC">
        <w:rPr>
          <w:b/>
          <w:sz w:val="22"/>
        </w:rPr>
        <w:fldChar w:fldCharType="separate"/>
      </w:r>
      <w:r w:rsidR="003A2A49" w:rsidRPr="00747DCC">
        <w:rPr>
          <w:b/>
          <w:color w:val="000000" w:themeColor="text1"/>
          <w:sz w:val="22"/>
          <w:szCs w:val="22"/>
        </w:rPr>
        <w:t xml:space="preserve">Table </w:t>
      </w:r>
      <w:r w:rsidR="003A2A49" w:rsidRPr="00747DCC">
        <w:rPr>
          <w:b/>
          <w:noProof/>
          <w:color w:val="000000" w:themeColor="text1"/>
          <w:sz w:val="22"/>
          <w:szCs w:val="22"/>
        </w:rPr>
        <w:t>5</w:t>
      </w:r>
      <w:r w:rsidR="003A2A49" w:rsidRPr="00747DCC">
        <w:rPr>
          <w:b/>
          <w:sz w:val="22"/>
        </w:rPr>
        <w:fldChar w:fldCharType="end"/>
      </w:r>
      <w:r w:rsidR="003A2A49" w:rsidRPr="003A2A49">
        <w:rPr>
          <w:sz w:val="22"/>
        </w:rPr>
        <w:t xml:space="preserve"> </w:t>
      </w:r>
      <w:r w:rsidR="003A2A49">
        <w:rPr>
          <w:sz w:val="22"/>
        </w:rPr>
        <w:t>that the governing pollutant with regard to PSD applicability is NO</w:t>
      </w:r>
      <w:r w:rsidR="003A2A49" w:rsidRPr="003A2A49">
        <w:rPr>
          <w:sz w:val="22"/>
          <w:vertAlign w:val="subscript"/>
        </w:rPr>
        <w:t>X</w:t>
      </w:r>
      <w:r w:rsidR="003A2A49">
        <w:rPr>
          <w:sz w:val="22"/>
        </w:rPr>
        <w:t xml:space="preserve">.  </w:t>
      </w:r>
      <w:r>
        <w:rPr>
          <w:sz w:val="22"/>
        </w:rPr>
        <w:t xml:space="preserve">However, the Department believes that the fuel limitations proposed by DEF are not necessary with the 48 hour fuel oil limitation in a calendar year imposed by NESHAP subpart JJJJJJ.  </w:t>
      </w:r>
      <w:r w:rsidR="00F23F9D">
        <w:rPr>
          <w:sz w:val="22"/>
        </w:rPr>
        <w:t>Instead</w:t>
      </w:r>
      <w:r>
        <w:rPr>
          <w:sz w:val="22"/>
        </w:rPr>
        <w:t xml:space="preserve"> </w:t>
      </w:r>
      <w:r w:rsidR="00F23F9D">
        <w:rPr>
          <w:sz w:val="22"/>
        </w:rPr>
        <w:t>the D</w:t>
      </w:r>
      <w:r>
        <w:rPr>
          <w:sz w:val="22"/>
        </w:rPr>
        <w:t>epartment will allow unl</w:t>
      </w:r>
      <w:r w:rsidR="00F23F9D">
        <w:rPr>
          <w:sz w:val="22"/>
        </w:rPr>
        <w:t>imited natural gas usage (8,760 hr/yr) on a calendar year basis during times of natural gas availability.</w:t>
      </w:r>
      <w:r>
        <w:rPr>
          <w:sz w:val="22"/>
        </w:rPr>
        <w:t xml:space="preserve"> </w:t>
      </w:r>
      <w:r w:rsidR="00F23F9D">
        <w:rPr>
          <w:sz w:val="22"/>
        </w:rPr>
        <w:t xml:space="preserve"> </w:t>
      </w:r>
      <w:r w:rsidR="003A2A49" w:rsidRPr="003A2A49">
        <w:rPr>
          <w:sz w:val="22"/>
        </w:rPr>
        <w:t xml:space="preserve">During times of natural gas supply curtailment and interruption, the amount of fuel oil usage will be prorated based on the amount of natural gas that was fired during the calendar year </w:t>
      </w:r>
      <w:r w:rsidR="00D13E24">
        <w:rPr>
          <w:sz w:val="22"/>
        </w:rPr>
        <w:t>when</w:t>
      </w:r>
      <w:r w:rsidR="003A2A49" w:rsidRPr="003A2A49">
        <w:rPr>
          <w:sz w:val="22"/>
        </w:rPr>
        <w:t xml:space="preserve"> the natural gas curtailment </w:t>
      </w:r>
      <w:r w:rsidR="00D13E24">
        <w:rPr>
          <w:sz w:val="22"/>
        </w:rPr>
        <w:t xml:space="preserve">or interruption </w:t>
      </w:r>
      <w:r w:rsidR="003A2A49" w:rsidRPr="003A2A49">
        <w:rPr>
          <w:sz w:val="22"/>
        </w:rPr>
        <w:t>occurred</w:t>
      </w:r>
      <w:r w:rsidR="00F23F9D">
        <w:rPr>
          <w:sz w:val="22"/>
        </w:rPr>
        <w:t xml:space="preserve">.  </w:t>
      </w:r>
      <w:r w:rsidR="003A2A49">
        <w:rPr>
          <w:sz w:val="22"/>
        </w:rPr>
        <w:t>In other words, using the appropriate NO</w:t>
      </w:r>
      <w:r w:rsidR="003A2A49" w:rsidRPr="003A2A49">
        <w:rPr>
          <w:sz w:val="22"/>
          <w:vertAlign w:val="subscript"/>
        </w:rPr>
        <w:t>X</w:t>
      </w:r>
      <w:r w:rsidR="003A2A49">
        <w:rPr>
          <w:sz w:val="22"/>
        </w:rPr>
        <w:t xml:space="preserve"> emissions factors for each fuel type</w:t>
      </w:r>
      <w:r w:rsidR="00390C3D">
        <w:rPr>
          <w:sz w:val="22"/>
        </w:rPr>
        <w:t xml:space="preserve"> (3.64 lb/hr natural gas and 12.6 lb/hr fuel oil)</w:t>
      </w:r>
      <w:r w:rsidR="003A2A49">
        <w:rPr>
          <w:sz w:val="22"/>
        </w:rPr>
        <w:t>, the NO</w:t>
      </w:r>
      <w:r w:rsidR="003A2A49" w:rsidRPr="003A2A49">
        <w:rPr>
          <w:sz w:val="22"/>
          <w:vertAlign w:val="subscript"/>
        </w:rPr>
        <w:t>X</w:t>
      </w:r>
      <w:r w:rsidR="003A2A49">
        <w:rPr>
          <w:sz w:val="22"/>
        </w:rPr>
        <w:t xml:space="preserve"> emissions resulting from natural gas firing during the </w:t>
      </w:r>
      <w:r w:rsidR="00D13E24">
        <w:rPr>
          <w:sz w:val="22"/>
        </w:rPr>
        <w:t xml:space="preserve">calendar </w:t>
      </w:r>
      <w:r w:rsidR="003A2A49">
        <w:rPr>
          <w:sz w:val="22"/>
        </w:rPr>
        <w:t xml:space="preserve">year will be subtracted from the 40 TPY </w:t>
      </w:r>
      <w:r w:rsidR="00747DCC">
        <w:rPr>
          <w:sz w:val="22"/>
        </w:rPr>
        <w:t>NO</w:t>
      </w:r>
      <w:r w:rsidR="00747DCC" w:rsidRPr="00747DCC">
        <w:rPr>
          <w:sz w:val="22"/>
          <w:vertAlign w:val="subscript"/>
        </w:rPr>
        <w:t>X</w:t>
      </w:r>
      <w:r w:rsidR="00747DCC">
        <w:rPr>
          <w:sz w:val="22"/>
        </w:rPr>
        <w:t xml:space="preserve"> </w:t>
      </w:r>
      <w:r w:rsidR="003A2A49">
        <w:rPr>
          <w:sz w:val="22"/>
        </w:rPr>
        <w:t xml:space="preserve">PSD SER to determine how much </w:t>
      </w:r>
      <w:r w:rsidR="00747DCC">
        <w:rPr>
          <w:sz w:val="22"/>
        </w:rPr>
        <w:t xml:space="preserve">fuel </w:t>
      </w:r>
      <w:r w:rsidR="003A2A49">
        <w:rPr>
          <w:sz w:val="22"/>
        </w:rPr>
        <w:t xml:space="preserve">oil firing is allowed during that year. The other </w:t>
      </w:r>
      <w:r w:rsidR="00390C3D">
        <w:rPr>
          <w:sz w:val="22"/>
        </w:rPr>
        <w:t>constraint</w:t>
      </w:r>
      <w:r w:rsidR="003A2A49">
        <w:rPr>
          <w:sz w:val="22"/>
        </w:rPr>
        <w:t xml:space="preserve"> is that oil firing can only exceed 48 hours in any calendar year during period</w:t>
      </w:r>
      <w:r w:rsidR="00747DCC">
        <w:rPr>
          <w:sz w:val="22"/>
        </w:rPr>
        <w:t>s</w:t>
      </w:r>
      <w:r w:rsidR="003A2A49">
        <w:rPr>
          <w:sz w:val="22"/>
        </w:rPr>
        <w:t xml:space="preserve"> of </w:t>
      </w:r>
      <w:r w:rsidR="003A2A49" w:rsidRPr="003A2A49">
        <w:rPr>
          <w:sz w:val="22"/>
        </w:rPr>
        <w:t>natural gas supply curtailment and interruption</w:t>
      </w:r>
      <w:r w:rsidR="003A2A49">
        <w:rPr>
          <w:sz w:val="22"/>
        </w:rPr>
        <w:t>.</w:t>
      </w:r>
    </w:p>
    <w:p w:rsidR="00F23F9D" w:rsidRDefault="00F23F9D" w:rsidP="007C5C58">
      <w:pPr>
        <w:widowControl w:val="0"/>
        <w:spacing w:after="120"/>
        <w:rPr>
          <w:sz w:val="22"/>
        </w:rPr>
      </w:pPr>
      <w:r>
        <w:rPr>
          <w:sz w:val="22"/>
        </w:rPr>
        <w:t xml:space="preserve">The three equations below will be included in the permit to allow the permittee to determine how much fuel oil can be fired in Backup Steam Boiler No. 6 in a calendar year during </w:t>
      </w:r>
      <w:r w:rsidR="00747DCC">
        <w:rPr>
          <w:sz w:val="22"/>
        </w:rPr>
        <w:t>periods</w:t>
      </w:r>
      <w:r>
        <w:rPr>
          <w:sz w:val="22"/>
        </w:rPr>
        <w:t xml:space="preserve"> of </w:t>
      </w:r>
      <w:r w:rsidR="00390C3D" w:rsidRPr="00390C3D">
        <w:rPr>
          <w:sz w:val="22"/>
        </w:rPr>
        <w:t>natural gas supply curtailment and interruption</w:t>
      </w:r>
      <w:r>
        <w:rPr>
          <w:sz w:val="22"/>
        </w:rPr>
        <w:t>.</w:t>
      </w:r>
      <w:r w:rsidR="00296672">
        <w:rPr>
          <w:sz w:val="22"/>
        </w:rPr>
        <w:t xml:space="preserve">  </w:t>
      </w:r>
    </w:p>
    <w:p w:rsidR="00F23F9D" w:rsidRDefault="00FD588D" w:rsidP="006B3E0F">
      <w:pPr>
        <w:widowControl w:val="0"/>
        <w:spacing w:after="120"/>
        <w:rPr>
          <w:sz w:val="22"/>
        </w:rPr>
      </w:pPr>
      <m:oMathPara>
        <m:oMath>
          <m:sSub>
            <m:sSubPr>
              <m:ctrlPr>
                <w:rPr>
                  <w:rFonts w:ascii="Cambria Math" w:hAnsi="Cambria Math"/>
                  <w:i/>
                  <w:caps/>
                  <w:sz w:val="28"/>
                  <w:szCs w:val="28"/>
                </w:rPr>
              </m:ctrlPr>
            </m:sSubPr>
            <m:e>
              <m:r>
                <w:rPr>
                  <w:rFonts w:ascii="Cambria Math" w:hAnsi="Cambria Math"/>
                  <w:caps/>
                  <w:sz w:val="28"/>
                  <w:szCs w:val="28"/>
                </w:rPr>
                <m:t>Allowable Hours</m:t>
              </m:r>
            </m:e>
            <m:sub>
              <m:r>
                <w:rPr>
                  <w:rFonts w:ascii="Cambria Math" w:hAnsi="Cambria Math"/>
                  <w:caps/>
                  <w:sz w:val="28"/>
                  <w:szCs w:val="28"/>
                </w:rPr>
                <m:t>oil firing</m:t>
              </m:r>
            </m:sub>
          </m:sSub>
          <m:r>
            <w:rPr>
              <w:rFonts w:ascii="Cambria Math" w:hAnsi="Cambria Math"/>
              <w:caps/>
              <w:sz w:val="28"/>
              <w:szCs w:val="28"/>
            </w:rPr>
            <m:t>=</m:t>
          </m:r>
          <m:f>
            <m:fPr>
              <m:ctrlPr>
                <w:rPr>
                  <w:rFonts w:ascii="Cambria Math" w:hAnsi="Cambria Math"/>
                  <w:i/>
                  <w:caps/>
                  <w:sz w:val="28"/>
                  <w:szCs w:val="28"/>
                </w:rPr>
              </m:ctrlPr>
            </m:fPr>
            <m:num>
              <m:r>
                <w:rPr>
                  <w:rFonts w:ascii="Cambria Math" w:hAnsi="Cambria Math"/>
                  <w:caps/>
                  <w:sz w:val="28"/>
                  <w:szCs w:val="28"/>
                </w:rPr>
                <m:t>80,600-</m:t>
              </m:r>
              <m:d>
                <m:dPr>
                  <m:ctrlPr>
                    <w:rPr>
                      <w:rFonts w:ascii="Cambria Math" w:hAnsi="Cambria Math"/>
                      <w:i/>
                      <w:caps/>
                      <w:sz w:val="28"/>
                      <w:szCs w:val="28"/>
                    </w:rPr>
                  </m:ctrlPr>
                </m:dPr>
                <m:e>
                  <m:r>
                    <w:rPr>
                      <w:rFonts w:ascii="Cambria Math" w:hAnsi="Cambria Math"/>
                      <w:caps/>
                      <w:sz w:val="28"/>
                      <w:szCs w:val="28"/>
                    </w:rPr>
                    <m:t xml:space="preserve">3.64 x </m:t>
                  </m:r>
                  <m:sSub>
                    <m:sSubPr>
                      <m:ctrlPr>
                        <w:rPr>
                          <w:rFonts w:ascii="Cambria Math" w:hAnsi="Cambria Math"/>
                          <w:i/>
                          <w:caps/>
                          <w:sz w:val="28"/>
                          <w:szCs w:val="28"/>
                        </w:rPr>
                      </m:ctrlPr>
                    </m:sSubPr>
                    <m:e>
                      <m:r>
                        <w:rPr>
                          <w:rFonts w:ascii="Cambria Math" w:hAnsi="Cambria Math"/>
                          <w:caps/>
                          <w:sz w:val="28"/>
                          <w:szCs w:val="28"/>
                        </w:rPr>
                        <m:t>Hours</m:t>
                      </m:r>
                    </m:e>
                    <m:sub>
                      <m:r>
                        <w:rPr>
                          <w:rFonts w:ascii="Cambria Math" w:hAnsi="Cambria Math"/>
                          <w:caps/>
                          <w:sz w:val="28"/>
                          <w:szCs w:val="28"/>
                        </w:rPr>
                        <m:t xml:space="preserve"> firing natural gas</m:t>
                      </m:r>
                    </m:sub>
                  </m:sSub>
                </m:e>
              </m:d>
              <m:r>
                <w:rPr>
                  <w:rFonts w:ascii="Cambria Math" w:hAnsi="Cambria Math"/>
                  <w:caps/>
                  <w:sz w:val="28"/>
                  <w:szCs w:val="28"/>
                </w:rPr>
                <m:t xml:space="preserve"> </m:t>
              </m:r>
            </m:num>
            <m:den>
              <m:r>
                <w:rPr>
                  <w:rFonts w:ascii="Cambria Math" w:hAnsi="Cambria Math"/>
                  <w:caps/>
                  <w:sz w:val="28"/>
                  <w:szCs w:val="28"/>
                </w:rPr>
                <m:t>12.6</m:t>
              </m:r>
            </m:den>
          </m:f>
          <m:r>
            <w:rPr>
              <w:rFonts w:ascii="Cambria Math" w:hAnsi="Cambria Math"/>
              <w:caps/>
              <w:sz w:val="28"/>
              <w:szCs w:val="28"/>
            </w:rPr>
            <m:t xml:space="preserve">             EQ. 1*</m:t>
          </m:r>
        </m:oMath>
      </m:oMathPara>
    </w:p>
    <w:p w:rsidR="003E79E3" w:rsidRDefault="003E79E3" w:rsidP="007C5C58">
      <w:pPr>
        <w:widowControl w:val="0"/>
        <w:spacing w:after="120"/>
        <w:rPr>
          <w:sz w:val="22"/>
        </w:rPr>
      </w:pPr>
    </w:p>
    <w:p w:rsidR="003E79E3" w:rsidRDefault="00296672" w:rsidP="006B3E0F">
      <w:pPr>
        <w:widowControl w:val="0"/>
        <w:spacing w:after="120"/>
        <w:rPr>
          <w:sz w:val="22"/>
        </w:rPr>
      </w:pPr>
      <m:oMathPara>
        <m:oMath>
          <m:r>
            <w:rPr>
              <w:rFonts w:ascii="Cambria Math" w:hAnsi="Cambria Math"/>
              <w:caps/>
              <w:sz w:val="28"/>
              <w:szCs w:val="28"/>
            </w:rPr>
            <m:t>8,760</m:t>
          </m:r>
          <m:f>
            <m:fPr>
              <m:ctrlPr>
                <w:rPr>
                  <w:rFonts w:ascii="Cambria Math" w:hAnsi="Cambria Math"/>
                  <w:i/>
                  <w:caps/>
                  <w:sz w:val="28"/>
                  <w:szCs w:val="28"/>
                </w:rPr>
              </m:ctrlPr>
            </m:fPr>
            <m:num>
              <m:r>
                <w:rPr>
                  <w:rFonts w:ascii="Cambria Math" w:hAnsi="Cambria Math"/>
                  <w:caps/>
                  <w:sz w:val="28"/>
                  <w:szCs w:val="28"/>
                </w:rPr>
                <m:t>hours</m:t>
              </m:r>
            </m:num>
            <m:den>
              <m:r>
                <w:rPr>
                  <w:rFonts w:ascii="Cambria Math" w:hAnsi="Cambria Math"/>
                  <w:caps/>
                  <w:sz w:val="28"/>
                  <w:szCs w:val="28"/>
                </w:rPr>
                <m:t>year</m:t>
              </m:r>
            </m:den>
          </m:f>
          <m:r>
            <w:rPr>
              <w:rFonts w:ascii="Cambria Math" w:hAnsi="Cambria Math"/>
              <w:caps/>
              <w:sz w:val="28"/>
              <w:szCs w:val="28"/>
            </w:rPr>
            <m:t>≥</m:t>
          </m:r>
          <m:sSub>
            <m:sSubPr>
              <m:ctrlPr>
                <w:rPr>
                  <w:rFonts w:ascii="Cambria Math" w:hAnsi="Cambria Math"/>
                  <w:i/>
                  <w:caps/>
                  <w:sz w:val="28"/>
                  <w:szCs w:val="28"/>
                </w:rPr>
              </m:ctrlPr>
            </m:sSubPr>
            <m:e>
              <m:r>
                <w:rPr>
                  <w:rFonts w:ascii="Cambria Math" w:hAnsi="Cambria Math"/>
                  <w:caps/>
                  <w:sz w:val="28"/>
                  <w:szCs w:val="28"/>
                </w:rPr>
                <m:t>Hours</m:t>
              </m:r>
            </m:e>
            <m:sub>
              <m:r>
                <w:rPr>
                  <w:rFonts w:ascii="Cambria Math" w:hAnsi="Cambria Math"/>
                  <w:caps/>
                  <w:sz w:val="28"/>
                  <w:szCs w:val="28"/>
                </w:rPr>
                <m:t xml:space="preserve"> firing natural gas</m:t>
              </m:r>
            </m:sub>
          </m:sSub>
          <m:r>
            <w:rPr>
              <w:rFonts w:ascii="Cambria Math" w:hAnsi="Cambria Math"/>
              <w:caps/>
              <w:sz w:val="28"/>
              <w:szCs w:val="28"/>
            </w:rPr>
            <m:t>+</m:t>
          </m:r>
          <m:sSub>
            <m:sSubPr>
              <m:ctrlPr>
                <w:rPr>
                  <w:rFonts w:ascii="Cambria Math" w:hAnsi="Cambria Math"/>
                  <w:i/>
                  <w:caps/>
                  <w:sz w:val="28"/>
                  <w:szCs w:val="28"/>
                </w:rPr>
              </m:ctrlPr>
            </m:sSubPr>
            <m:e>
              <m:r>
                <w:rPr>
                  <w:rFonts w:ascii="Cambria Math" w:hAnsi="Cambria Math"/>
                  <w:caps/>
                  <w:sz w:val="28"/>
                  <w:szCs w:val="28"/>
                </w:rPr>
                <m:t>Allowable Hours</m:t>
              </m:r>
            </m:e>
            <m:sub>
              <m:r>
                <w:rPr>
                  <w:rFonts w:ascii="Cambria Math" w:hAnsi="Cambria Math"/>
                  <w:caps/>
                  <w:sz w:val="28"/>
                  <w:szCs w:val="28"/>
                </w:rPr>
                <m:t>oil firing</m:t>
              </m:r>
            </m:sub>
          </m:sSub>
          <m:r>
            <w:rPr>
              <w:rFonts w:ascii="Cambria Math" w:hAnsi="Cambria Math"/>
              <w:caps/>
              <w:sz w:val="28"/>
              <w:szCs w:val="28"/>
            </w:rPr>
            <m:t xml:space="preserve">    EQ. 2*</m:t>
          </m:r>
        </m:oMath>
      </m:oMathPara>
    </w:p>
    <w:p w:rsidR="00F23F9D" w:rsidRDefault="00F23F9D" w:rsidP="007C5C58">
      <w:pPr>
        <w:widowControl w:val="0"/>
        <w:spacing w:after="120"/>
        <w:rPr>
          <w:sz w:val="22"/>
        </w:rPr>
      </w:pPr>
    </w:p>
    <w:p w:rsidR="00F23F9D" w:rsidRPr="00D80F7C" w:rsidRDefault="00FD588D" w:rsidP="00D80F7C">
      <w:pPr>
        <w:pStyle w:val="ListParagraph"/>
        <w:widowControl w:val="0"/>
        <w:numPr>
          <w:ilvl w:val="1"/>
          <w:numId w:val="24"/>
        </w:numPr>
        <w:pBdr>
          <w:bottom w:val="single" w:sz="12" w:space="1" w:color="auto"/>
        </w:pBdr>
        <w:spacing w:after="120"/>
        <w:ind w:right="-180"/>
        <w:rPr>
          <w:caps/>
          <w:sz w:val="26"/>
          <w:szCs w:val="26"/>
        </w:rPr>
      </w:pPr>
      <m:oMath>
        <m:sSub>
          <m:sSubPr>
            <m:ctrlPr>
              <w:rPr>
                <w:rFonts w:ascii="Cambria Math" w:hAnsi="Cambria Math"/>
                <w:i/>
                <w:caps/>
                <w:sz w:val="26"/>
                <w:szCs w:val="26"/>
              </w:rPr>
            </m:ctrlPr>
          </m:sSubPr>
          <m:e>
            <m:r>
              <w:rPr>
                <w:rFonts w:ascii="Cambria Math" w:hAnsi="Cambria Math"/>
                <w:caps/>
                <w:sz w:val="26"/>
                <w:szCs w:val="26"/>
              </w:rPr>
              <m:t>NO</m:t>
            </m:r>
          </m:e>
          <m:sub>
            <m:r>
              <w:rPr>
                <w:rFonts w:ascii="Cambria Math" w:hAnsi="Cambria Math"/>
                <w:caps/>
                <w:sz w:val="26"/>
                <w:szCs w:val="26"/>
              </w:rPr>
              <m:t xml:space="preserve">X </m:t>
            </m:r>
          </m:sub>
        </m:sSub>
        <m:f>
          <m:fPr>
            <m:ctrlPr>
              <w:rPr>
                <w:rFonts w:ascii="Cambria Math" w:hAnsi="Cambria Math"/>
                <w:i/>
                <w:caps/>
                <w:sz w:val="26"/>
                <w:szCs w:val="26"/>
              </w:rPr>
            </m:ctrlPr>
          </m:fPr>
          <m:num>
            <m:r>
              <w:rPr>
                <w:rFonts w:ascii="Cambria Math" w:hAnsi="Cambria Math"/>
                <w:caps/>
                <w:sz w:val="26"/>
                <w:szCs w:val="26"/>
              </w:rPr>
              <m:t>tons</m:t>
            </m:r>
          </m:num>
          <m:den>
            <m:r>
              <w:rPr>
                <w:rFonts w:ascii="Cambria Math" w:hAnsi="Cambria Math"/>
                <w:caps/>
                <w:sz w:val="26"/>
                <w:szCs w:val="26"/>
              </w:rPr>
              <m:t>year</m:t>
            </m:r>
          </m:den>
        </m:f>
        <m:r>
          <w:rPr>
            <w:rFonts w:ascii="Cambria Math" w:hAnsi="Cambria Math"/>
            <w:caps/>
            <w:sz w:val="26"/>
            <w:szCs w:val="26"/>
          </w:rPr>
          <m:t xml:space="preserve">≥ </m:t>
        </m:r>
        <m:sSub>
          <m:sSubPr>
            <m:ctrlPr>
              <w:rPr>
                <w:rFonts w:ascii="Cambria Math" w:hAnsi="Cambria Math"/>
                <w:i/>
                <w:caps/>
                <w:sz w:val="26"/>
                <w:szCs w:val="26"/>
              </w:rPr>
            </m:ctrlPr>
          </m:sSubPr>
          <m:e>
            <m:sSup>
              <m:sSupPr>
                <m:ctrlPr>
                  <w:rPr>
                    <w:rFonts w:ascii="Cambria Math" w:hAnsi="Cambria Math"/>
                    <w:i/>
                    <w:caps/>
                    <w:sz w:val="26"/>
                    <w:szCs w:val="26"/>
                  </w:rPr>
                </m:ctrlPr>
              </m:sSupPr>
              <m:e>
                <m:r>
                  <w:rPr>
                    <w:rFonts w:ascii="Cambria Math" w:hAnsi="Cambria Math"/>
                    <w:caps/>
                    <w:sz w:val="26"/>
                    <w:szCs w:val="26"/>
                  </w:rPr>
                  <m:t>CT</m:t>
                </m:r>
              </m:e>
              <m:sup>
                <m:r>
                  <w:rPr>
                    <w:rFonts w:ascii="Cambria Math" w:hAnsi="Cambria Math"/>
                    <w:caps/>
                    <w:sz w:val="26"/>
                    <w:szCs w:val="26"/>
                  </w:rPr>
                  <m:t>**</m:t>
                </m:r>
              </m:sup>
            </m:sSup>
          </m:e>
          <m:sub>
            <m:sSub>
              <m:sSubPr>
                <m:ctrlPr>
                  <w:rPr>
                    <w:rFonts w:ascii="Cambria Math" w:hAnsi="Cambria Math"/>
                    <w:i/>
                    <w:caps/>
                    <w:sz w:val="26"/>
                    <w:szCs w:val="26"/>
                  </w:rPr>
                </m:ctrlPr>
              </m:sSubPr>
              <m:e>
                <m:r>
                  <w:rPr>
                    <w:rFonts w:ascii="Cambria Math" w:hAnsi="Cambria Math"/>
                    <w:caps/>
                    <w:sz w:val="26"/>
                    <w:szCs w:val="26"/>
                  </w:rPr>
                  <m:t>NO</m:t>
                </m:r>
              </m:e>
              <m:sub>
                <m:r>
                  <w:rPr>
                    <w:rFonts w:ascii="Cambria Math" w:hAnsi="Cambria Math"/>
                    <w:caps/>
                    <w:sz w:val="26"/>
                    <w:szCs w:val="26"/>
                  </w:rPr>
                  <m:t>X</m:t>
                </m:r>
              </m:sub>
            </m:sSub>
          </m:sub>
        </m:sSub>
        <m:f>
          <m:fPr>
            <m:ctrlPr>
              <w:rPr>
                <w:rFonts w:ascii="Cambria Math" w:hAnsi="Cambria Math"/>
                <w:i/>
                <w:caps/>
                <w:sz w:val="26"/>
                <w:szCs w:val="26"/>
              </w:rPr>
            </m:ctrlPr>
          </m:fPr>
          <m:num>
            <m:r>
              <w:rPr>
                <w:rFonts w:ascii="Cambria Math" w:hAnsi="Cambria Math"/>
                <w:caps/>
                <w:sz w:val="26"/>
                <w:szCs w:val="26"/>
              </w:rPr>
              <m:t>tons</m:t>
            </m:r>
          </m:num>
          <m:den>
            <m:r>
              <w:rPr>
                <w:rFonts w:ascii="Cambria Math" w:hAnsi="Cambria Math"/>
                <w:caps/>
                <w:sz w:val="26"/>
                <w:szCs w:val="26"/>
              </w:rPr>
              <m:t>year</m:t>
            </m:r>
          </m:den>
        </m:f>
        <m:r>
          <w:rPr>
            <w:rFonts w:ascii="Cambria Math" w:hAnsi="Cambria Math"/>
            <w:caps/>
            <w:sz w:val="26"/>
            <w:szCs w:val="26"/>
          </w:rPr>
          <m:t>+</m:t>
        </m:r>
        <m:sSub>
          <m:sSubPr>
            <m:ctrlPr>
              <w:rPr>
                <w:rFonts w:ascii="Cambria Math" w:hAnsi="Cambria Math"/>
                <w:i/>
                <w:caps/>
                <w:sz w:val="26"/>
                <w:szCs w:val="26"/>
              </w:rPr>
            </m:ctrlPr>
          </m:sSubPr>
          <m:e>
            <m:r>
              <w:rPr>
                <w:rFonts w:ascii="Cambria Math" w:hAnsi="Cambria Math"/>
                <w:caps/>
                <w:sz w:val="26"/>
                <w:szCs w:val="26"/>
              </w:rPr>
              <m:t>Boiler No. 5</m:t>
            </m:r>
          </m:e>
          <m:sub>
            <m:sSub>
              <m:sSubPr>
                <m:ctrlPr>
                  <w:rPr>
                    <w:rFonts w:ascii="Cambria Math" w:hAnsi="Cambria Math"/>
                    <w:i/>
                    <w:caps/>
                    <w:sz w:val="26"/>
                    <w:szCs w:val="26"/>
                  </w:rPr>
                </m:ctrlPr>
              </m:sSubPr>
              <m:e>
                <m:r>
                  <w:rPr>
                    <w:rFonts w:ascii="Cambria Math" w:hAnsi="Cambria Math"/>
                    <w:caps/>
                    <w:sz w:val="26"/>
                    <w:szCs w:val="26"/>
                  </w:rPr>
                  <m:t>NO</m:t>
                </m:r>
              </m:e>
              <m:sub>
                <m:r>
                  <w:rPr>
                    <w:rFonts w:ascii="Cambria Math" w:hAnsi="Cambria Math"/>
                    <w:caps/>
                    <w:sz w:val="26"/>
                    <w:szCs w:val="26"/>
                  </w:rPr>
                  <m:t>X</m:t>
                </m:r>
              </m:sub>
            </m:sSub>
          </m:sub>
        </m:sSub>
        <m:f>
          <m:fPr>
            <m:ctrlPr>
              <w:rPr>
                <w:rFonts w:ascii="Cambria Math" w:hAnsi="Cambria Math"/>
                <w:i/>
                <w:caps/>
                <w:sz w:val="26"/>
                <w:szCs w:val="26"/>
              </w:rPr>
            </m:ctrlPr>
          </m:fPr>
          <m:num>
            <m:r>
              <w:rPr>
                <w:rFonts w:ascii="Cambria Math" w:hAnsi="Cambria Math"/>
                <w:caps/>
                <w:sz w:val="26"/>
                <w:szCs w:val="26"/>
              </w:rPr>
              <m:t>tons</m:t>
            </m:r>
          </m:num>
          <m:den>
            <m:r>
              <w:rPr>
                <w:rFonts w:ascii="Cambria Math" w:hAnsi="Cambria Math"/>
                <w:caps/>
                <w:sz w:val="26"/>
                <w:szCs w:val="26"/>
              </w:rPr>
              <m:t>year</m:t>
            </m:r>
          </m:den>
        </m:f>
        <m:r>
          <w:rPr>
            <w:rFonts w:ascii="Cambria Math" w:hAnsi="Cambria Math"/>
            <w:caps/>
            <w:sz w:val="26"/>
            <w:szCs w:val="26"/>
          </w:rPr>
          <m:t>+</m:t>
        </m:r>
        <m:sSub>
          <m:sSubPr>
            <m:ctrlPr>
              <w:rPr>
                <w:rFonts w:ascii="Cambria Math" w:hAnsi="Cambria Math"/>
                <w:i/>
                <w:caps/>
                <w:sz w:val="26"/>
                <w:szCs w:val="26"/>
              </w:rPr>
            </m:ctrlPr>
          </m:sSubPr>
          <m:e>
            <m:r>
              <w:rPr>
                <w:rFonts w:ascii="Cambria Math" w:hAnsi="Cambria Math"/>
                <w:caps/>
                <w:sz w:val="26"/>
                <w:szCs w:val="26"/>
              </w:rPr>
              <m:t>Boiler No. 6</m:t>
            </m:r>
          </m:e>
          <m:sub>
            <m:sSub>
              <m:sSubPr>
                <m:ctrlPr>
                  <w:rPr>
                    <w:rFonts w:ascii="Cambria Math" w:hAnsi="Cambria Math"/>
                    <w:i/>
                    <w:caps/>
                    <w:sz w:val="26"/>
                    <w:szCs w:val="26"/>
                  </w:rPr>
                </m:ctrlPr>
              </m:sSubPr>
              <m:e>
                <m:r>
                  <w:rPr>
                    <w:rFonts w:ascii="Cambria Math" w:hAnsi="Cambria Math"/>
                    <w:caps/>
                    <w:sz w:val="26"/>
                    <w:szCs w:val="26"/>
                  </w:rPr>
                  <m:t>NO</m:t>
                </m:r>
              </m:e>
              <m:sub>
                <m:r>
                  <w:rPr>
                    <w:rFonts w:ascii="Cambria Math" w:hAnsi="Cambria Math"/>
                    <w:caps/>
                    <w:sz w:val="26"/>
                    <w:szCs w:val="26"/>
                  </w:rPr>
                  <m:t>X</m:t>
                </m:r>
              </m:sub>
            </m:sSub>
          </m:sub>
        </m:sSub>
        <m:f>
          <m:fPr>
            <m:ctrlPr>
              <w:rPr>
                <w:rFonts w:ascii="Cambria Math" w:hAnsi="Cambria Math"/>
                <w:i/>
                <w:caps/>
                <w:sz w:val="26"/>
                <w:szCs w:val="26"/>
              </w:rPr>
            </m:ctrlPr>
          </m:fPr>
          <m:num>
            <m:r>
              <w:rPr>
                <w:rFonts w:ascii="Cambria Math" w:hAnsi="Cambria Math"/>
                <w:caps/>
                <w:sz w:val="26"/>
                <w:szCs w:val="26"/>
              </w:rPr>
              <m:t>tons</m:t>
            </m:r>
          </m:num>
          <m:den>
            <m:r>
              <w:rPr>
                <w:rFonts w:ascii="Cambria Math" w:hAnsi="Cambria Math"/>
                <w:caps/>
                <w:sz w:val="26"/>
                <w:szCs w:val="26"/>
              </w:rPr>
              <m:t>year</m:t>
            </m:r>
          </m:den>
        </m:f>
        <m:r>
          <w:rPr>
            <w:rFonts w:ascii="Cambria Math" w:hAnsi="Cambria Math"/>
            <w:caps/>
            <w:sz w:val="26"/>
            <w:szCs w:val="26"/>
          </w:rPr>
          <m:t xml:space="preserve"> EQ. 3*</m:t>
        </m:r>
      </m:oMath>
    </w:p>
    <w:p w:rsidR="00D80F7C" w:rsidRPr="00D821DA" w:rsidRDefault="00D821DA" w:rsidP="00D821DA">
      <w:pPr>
        <w:widowControl w:val="0"/>
        <w:ind w:left="270" w:right="-187" w:hanging="270"/>
      </w:pPr>
      <m:oMath>
        <m:r>
          <w:rPr>
            <w:rFonts w:ascii="Cambria Math" w:hAnsi="Cambria Math"/>
            <w:caps/>
          </w:rPr>
          <m:t xml:space="preserve">* </m:t>
        </m:r>
      </m:oMath>
      <w:r w:rsidRPr="00D821DA">
        <w:rPr>
          <w:caps/>
        </w:rPr>
        <w:t xml:space="preserve">  </w:t>
      </w:r>
      <w:r w:rsidRPr="00D821DA">
        <w:t>Annual NO</w:t>
      </w:r>
      <w:r w:rsidR="00F40607" w:rsidRPr="00F40607">
        <w:rPr>
          <w:vertAlign w:val="subscript"/>
        </w:rPr>
        <w:t>X</w:t>
      </w:r>
      <w:r w:rsidRPr="00D821DA">
        <w:t xml:space="preserve"> emissions from the backup steam boilers shall be determined based on the annual fuel consumption rates and the appropriate NO</w:t>
      </w:r>
      <w:r w:rsidR="00F40607" w:rsidRPr="00F40607">
        <w:rPr>
          <w:vertAlign w:val="subscript"/>
        </w:rPr>
        <w:t>X</w:t>
      </w:r>
      <w:r w:rsidRPr="00D821DA">
        <w:t xml:space="preserve"> emissions factors.</w:t>
      </w:r>
    </w:p>
    <w:p w:rsidR="00D80F7C" w:rsidRPr="00D821DA" w:rsidRDefault="00D821DA" w:rsidP="00D821DA">
      <w:pPr>
        <w:widowControl w:val="0"/>
        <w:spacing w:after="240"/>
        <w:ind w:left="270" w:right="-187" w:hanging="270"/>
      </w:pPr>
      <w:r w:rsidRPr="00D821DA">
        <w:t xml:space="preserve">**  </w:t>
      </w:r>
      <w:r w:rsidR="00D80F7C" w:rsidRPr="00D821DA">
        <w:t xml:space="preserve">CT emissions include </w:t>
      </w:r>
      <w:r w:rsidRPr="00D821DA">
        <w:t>emission</w:t>
      </w:r>
      <w:r w:rsidR="00747DCC">
        <w:t>s</w:t>
      </w:r>
      <w:r w:rsidRPr="00D821DA">
        <w:t xml:space="preserve"> from the </w:t>
      </w:r>
      <w:r w:rsidR="00747DCC">
        <w:t>DB</w:t>
      </w:r>
      <w:r w:rsidRPr="00D821DA">
        <w:t xml:space="preserve"> system and shall be determined by data collected from the NO</w:t>
      </w:r>
      <w:r w:rsidR="00F40607" w:rsidRPr="00F40607">
        <w:rPr>
          <w:vertAlign w:val="subscript"/>
        </w:rPr>
        <w:t>X</w:t>
      </w:r>
      <w:r w:rsidRPr="00D821DA">
        <w:t xml:space="preserve"> CEMS.</w:t>
      </w:r>
    </w:p>
    <w:p w:rsidR="006F1933" w:rsidRDefault="00296672" w:rsidP="007C5C58">
      <w:pPr>
        <w:widowControl w:val="0"/>
        <w:spacing w:after="120"/>
        <w:rPr>
          <w:sz w:val="22"/>
          <w:szCs w:val="22"/>
        </w:rPr>
      </w:pPr>
      <w:r w:rsidRPr="00296672">
        <w:rPr>
          <w:b/>
          <w:sz w:val="22"/>
        </w:rPr>
        <w:t>Equation 1</w:t>
      </w:r>
      <w:r>
        <w:rPr>
          <w:sz w:val="22"/>
        </w:rPr>
        <w:t xml:space="preserve"> above gives the allowable fuel oil firing hours during periods of natural gas curtailment based on the amount of natural gas previously fired in the boiler.  For instance</w:t>
      </w:r>
      <w:r w:rsidR="002A2C81">
        <w:rPr>
          <w:sz w:val="22"/>
        </w:rPr>
        <w:t>, if</w:t>
      </w:r>
      <w:r>
        <w:rPr>
          <w:sz w:val="22"/>
        </w:rPr>
        <w:t xml:space="preserve"> no natural gas had been fired, the allowable fuel oil usage in a calendar year would be </w:t>
      </w:r>
      <w:r w:rsidR="00390C3D">
        <w:rPr>
          <w:sz w:val="22"/>
        </w:rPr>
        <w:t>80,600</w:t>
      </w:r>
      <w:r>
        <w:rPr>
          <w:sz w:val="22"/>
        </w:rPr>
        <w:t xml:space="preserve">/12.6 = </w:t>
      </w:r>
      <w:r w:rsidR="00390C3D">
        <w:rPr>
          <w:sz w:val="22"/>
        </w:rPr>
        <w:t>6,397</w:t>
      </w:r>
      <w:r>
        <w:rPr>
          <w:sz w:val="22"/>
        </w:rPr>
        <w:t xml:space="preserve"> hours</w:t>
      </w:r>
      <w:r w:rsidR="00F26D0F">
        <w:rPr>
          <w:sz w:val="22"/>
        </w:rPr>
        <w:t xml:space="preserve"> while if 4,380 hours (half a year) of natural gas was fired in </w:t>
      </w:r>
      <w:r w:rsidR="002A2C81">
        <w:rPr>
          <w:sz w:val="22"/>
        </w:rPr>
        <w:t xml:space="preserve">a </w:t>
      </w:r>
      <w:r w:rsidR="00F26D0F">
        <w:rPr>
          <w:sz w:val="22"/>
        </w:rPr>
        <w:t xml:space="preserve">calendar year then </w:t>
      </w:r>
      <w:r w:rsidR="00390C3D">
        <w:rPr>
          <w:sz w:val="22"/>
        </w:rPr>
        <w:t>5,131</w:t>
      </w:r>
      <w:r w:rsidR="006B3E0F">
        <w:rPr>
          <w:sz w:val="22"/>
        </w:rPr>
        <w:t xml:space="preserve"> hours of fuel oil could be fired.  However, these two hourly values exceed the total hours in a calendar year of 8,760 hours (4,380 + </w:t>
      </w:r>
      <w:r w:rsidR="00390C3D">
        <w:rPr>
          <w:sz w:val="22"/>
        </w:rPr>
        <w:t>5,131</w:t>
      </w:r>
      <w:r w:rsidR="006B3E0F">
        <w:rPr>
          <w:sz w:val="22"/>
        </w:rPr>
        <w:t xml:space="preserve"> = </w:t>
      </w:r>
      <w:r w:rsidR="006B3E0F" w:rsidRPr="006B3E0F">
        <w:rPr>
          <w:b/>
          <w:sz w:val="22"/>
        </w:rPr>
        <w:t>9,</w:t>
      </w:r>
      <w:r w:rsidR="00390C3D">
        <w:rPr>
          <w:b/>
          <w:sz w:val="22"/>
        </w:rPr>
        <w:t>511</w:t>
      </w:r>
      <w:r w:rsidR="006B3E0F" w:rsidRPr="006B3E0F">
        <w:rPr>
          <w:b/>
          <w:sz w:val="22"/>
        </w:rPr>
        <w:t xml:space="preserve"> hours</w:t>
      </w:r>
      <w:r w:rsidR="006B3E0F" w:rsidRPr="006B3E0F">
        <w:rPr>
          <w:sz w:val="22"/>
        </w:rPr>
        <w:t>)</w:t>
      </w:r>
      <w:r w:rsidR="006B3E0F">
        <w:rPr>
          <w:sz w:val="22"/>
        </w:rPr>
        <w:t>.  Consequently,</w:t>
      </w:r>
      <w:r w:rsidR="00636630">
        <w:rPr>
          <w:sz w:val="22"/>
        </w:rPr>
        <w:t xml:space="preserve"> </w:t>
      </w:r>
      <w:r w:rsidRPr="006B3E0F">
        <w:rPr>
          <w:b/>
          <w:sz w:val="22"/>
        </w:rPr>
        <w:t>Equation 2</w:t>
      </w:r>
      <w:r w:rsidR="006B3E0F">
        <w:rPr>
          <w:sz w:val="22"/>
        </w:rPr>
        <w:t xml:space="preserve"> is necessary.  This equation</w:t>
      </w:r>
      <w:r>
        <w:rPr>
          <w:sz w:val="22"/>
        </w:rPr>
        <w:t xml:space="preserve"> assures that the total amount of natural gas and fuel oil firing does not exceed the total of 8,760 hour</w:t>
      </w:r>
      <w:r w:rsidR="006B3E0F">
        <w:rPr>
          <w:sz w:val="22"/>
        </w:rPr>
        <w:t xml:space="preserve">s.  Thus, when firing 4,380 hours of natural gas in a calendar year the actual allowable fuel oil firing would be 8,760 - 4,380 = 4,380 hours. </w:t>
      </w:r>
      <w:r>
        <w:rPr>
          <w:sz w:val="22"/>
        </w:rPr>
        <w:t xml:space="preserve"> </w:t>
      </w:r>
      <w:r w:rsidR="006B3E0F" w:rsidRPr="006B3E0F">
        <w:rPr>
          <w:b/>
          <w:sz w:val="22"/>
        </w:rPr>
        <w:t>Equation 3</w:t>
      </w:r>
      <w:r w:rsidR="006B3E0F">
        <w:rPr>
          <w:sz w:val="22"/>
        </w:rPr>
        <w:t xml:space="preserve"> is necessary to assure that the current NO</w:t>
      </w:r>
      <w:r w:rsidR="006B3E0F" w:rsidRPr="000B1F0F">
        <w:rPr>
          <w:sz w:val="22"/>
          <w:vertAlign w:val="subscript"/>
        </w:rPr>
        <w:t>X</w:t>
      </w:r>
      <w:r w:rsidR="006B3E0F">
        <w:rPr>
          <w:sz w:val="22"/>
        </w:rPr>
        <w:t xml:space="preserve"> emission cap applicable to the UF CoGen Plant is not exceeded.</w:t>
      </w:r>
      <w:r w:rsidR="000B1F0F">
        <w:rPr>
          <w:sz w:val="22"/>
        </w:rPr>
        <w:t xml:space="preserve">  This NO</w:t>
      </w:r>
      <w:r w:rsidR="000B1F0F" w:rsidRPr="000B1F0F">
        <w:rPr>
          <w:sz w:val="22"/>
          <w:vertAlign w:val="subscript"/>
        </w:rPr>
        <w:t>X</w:t>
      </w:r>
      <w:r w:rsidR="000B1F0F">
        <w:rPr>
          <w:sz w:val="22"/>
        </w:rPr>
        <w:t xml:space="preserve"> emissions cap is the result of </w:t>
      </w:r>
      <w:r w:rsidR="000B1F0F" w:rsidRPr="004C59FC">
        <w:rPr>
          <w:sz w:val="22"/>
          <w:szCs w:val="22"/>
        </w:rPr>
        <w:t>PSD avoidance pursuant to 62-212.400(12), F.A.C.</w:t>
      </w:r>
    </w:p>
    <w:p w:rsidR="008A57F6" w:rsidRDefault="008A57F6" w:rsidP="007C5C58">
      <w:pPr>
        <w:widowControl w:val="0"/>
        <w:spacing w:after="120"/>
        <w:rPr>
          <w:sz w:val="22"/>
        </w:rPr>
      </w:pPr>
      <w:r>
        <w:rPr>
          <w:sz w:val="22"/>
        </w:rPr>
        <w:t xml:space="preserve">The Department will set the emission limit given in </w:t>
      </w:r>
      <w:r w:rsidRPr="008A57F6">
        <w:rPr>
          <w:sz w:val="22"/>
        </w:rPr>
        <w:fldChar w:fldCharType="begin"/>
      </w:r>
      <w:r w:rsidRPr="008A57F6">
        <w:rPr>
          <w:sz w:val="22"/>
        </w:rPr>
        <w:instrText xml:space="preserve"> REF _Ref381873170 \h  \* MERGEFORMAT </w:instrText>
      </w:r>
      <w:r w:rsidRPr="008A57F6">
        <w:rPr>
          <w:sz w:val="22"/>
        </w:rPr>
      </w:r>
      <w:r w:rsidRPr="008A57F6">
        <w:rPr>
          <w:sz w:val="22"/>
        </w:rPr>
        <w:fldChar w:fldCharType="separate"/>
      </w:r>
      <w:r w:rsidRPr="008A57F6">
        <w:rPr>
          <w:b/>
          <w:color w:val="000000" w:themeColor="text1"/>
          <w:sz w:val="22"/>
          <w:szCs w:val="22"/>
        </w:rPr>
        <w:t xml:space="preserve">Table </w:t>
      </w:r>
      <w:r w:rsidRPr="008A57F6">
        <w:rPr>
          <w:b/>
          <w:noProof/>
          <w:color w:val="000000" w:themeColor="text1"/>
          <w:sz w:val="22"/>
          <w:szCs w:val="22"/>
        </w:rPr>
        <w:t>6</w:t>
      </w:r>
      <w:r w:rsidRPr="008A57F6">
        <w:rPr>
          <w:sz w:val="22"/>
        </w:rPr>
        <w:fldChar w:fldCharType="end"/>
      </w:r>
      <w:r w:rsidRPr="008A57F6">
        <w:rPr>
          <w:sz w:val="22"/>
        </w:rPr>
        <w:t xml:space="preserve"> </w:t>
      </w:r>
      <w:r>
        <w:rPr>
          <w:sz w:val="22"/>
        </w:rPr>
        <w:t>for the new Backup Steam Boiler No. 6 based on the applicable NSPS and NESHAP federal requirements and state regulations.</w:t>
      </w:r>
    </w:p>
    <w:p w:rsidR="008A57F6" w:rsidRPr="008A57F6" w:rsidRDefault="008A57F6" w:rsidP="008A57F6">
      <w:pPr>
        <w:pStyle w:val="Caption"/>
        <w:spacing w:after="120"/>
        <w:jc w:val="center"/>
        <w:rPr>
          <w:rFonts w:ascii="Times New Roman Bold" w:hAnsi="Times New Roman Bold"/>
          <w:b/>
          <w:i w:val="0"/>
          <w:caps/>
          <w:color w:val="000000" w:themeColor="text1"/>
          <w:sz w:val="22"/>
          <w:szCs w:val="22"/>
        </w:rPr>
      </w:pPr>
      <w:bookmarkStart w:id="10" w:name="_Ref381873170"/>
      <w:r w:rsidRPr="008A57F6">
        <w:rPr>
          <w:rFonts w:ascii="Times New Roman Bold" w:hAnsi="Times New Roman Bold"/>
          <w:b/>
          <w:i w:val="0"/>
          <w:caps/>
          <w:color w:val="000000" w:themeColor="text1"/>
          <w:sz w:val="22"/>
          <w:szCs w:val="22"/>
        </w:rPr>
        <w:t xml:space="preserve">Table </w:t>
      </w:r>
      <w:r w:rsidRPr="008A57F6">
        <w:rPr>
          <w:rFonts w:ascii="Times New Roman Bold" w:hAnsi="Times New Roman Bold"/>
          <w:b/>
          <w:i w:val="0"/>
          <w:caps/>
          <w:color w:val="000000" w:themeColor="text1"/>
          <w:sz w:val="22"/>
          <w:szCs w:val="22"/>
        </w:rPr>
        <w:fldChar w:fldCharType="begin"/>
      </w:r>
      <w:r w:rsidRPr="008A57F6">
        <w:rPr>
          <w:rFonts w:ascii="Times New Roman Bold" w:hAnsi="Times New Roman Bold"/>
          <w:b/>
          <w:i w:val="0"/>
          <w:caps/>
          <w:color w:val="000000" w:themeColor="text1"/>
          <w:sz w:val="22"/>
          <w:szCs w:val="22"/>
        </w:rPr>
        <w:instrText xml:space="preserve"> SEQ Table \* ARABIC </w:instrText>
      </w:r>
      <w:r w:rsidRPr="008A57F6">
        <w:rPr>
          <w:rFonts w:ascii="Times New Roman Bold" w:hAnsi="Times New Roman Bold"/>
          <w:b/>
          <w:i w:val="0"/>
          <w:caps/>
          <w:color w:val="000000" w:themeColor="text1"/>
          <w:sz w:val="22"/>
          <w:szCs w:val="22"/>
        </w:rPr>
        <w:fldChar w:fldCharType="separate"/>
      </w:r>
      <w:r w:rsidRPr="008A57F6">
        <w:rPr>
          <w:rFonts w:ascii="Times New Roman Bold" w:hAnsi="Times New Roman Bold"/>
          <w:b/>
          <w:i w:val="0"/>
          <w:caps/>
          <w:noProof/>
          <w:color w:val="000000" w:themeColor="text1"/>
          <w:sz w:val="22"/>
          <w:szCs w:val="22"/>
        </w:rPr>
        <w:t>6</w:t>
      </w:r>
      <w:r w:rsidRPr="008A57F6">
        <w:rPr>
          <w:rFonts w:ascii="Times New Roman Bold" w:hAnsi="Times New Roman Bold"/>
          <w:b/>
          <w:i w:val="0"/>
          <w:caps/>
          <w:color w:val="000000" w:themeColor="text1"/>
          <w:sz w:val="22"/>
          <w:szCs w:val="22"/>
        </w:rPr>
        <w:fldChar w:fldCharType="end"/>
      </w:r>
      <w:bookmarkEnd w:id="10"/>
      <w:r>
        <w:rPr>
          <w:rFonts w:ascii="Times New Roman Bold" w:hAnsi="Times New Roman Bold"/>
          <w:b/>
          <w:i w:val="0"/>
          <w:caps/>
          <w:color w:val="000000" w:themeColor="text1"/>
          <w:sz w:val="22"/>
          <w:szCs w:val="22"/>
        </w:rPr>
        <w:t>.  new backup steam boiler no. 6 emission limits.</w:t>
      </w:r>
    </w:p>
    <w:tbl>
      <w:tblPr>
        <w:tblStyle w:val="TableGrid"/>
        <w:tblW w:w="9518" w:type="dxa"/>
        <w:tblInd w:w="360" w:type="dxa"/>
        <w:tblLook w:val="04A0" w:firstRow="1" w:lastRow="0" w:firstColumn="1" w:lastColumn="0" w:noHBand="0" w:noVBand="1"/>
      </w:tblPr>
      <w:tblGrid>
        <w:gridCol w:w="1345"/>
        <w:gridCol w:w="942"/>
        <w:gridCol w:w="1398"/>
        <w:gridCol w:w="1350"/>
        <w:gridCol w:w="2768"/>
        <w:gridCol w:w="1715"/>
      </w:tblGrid>
      <w:tr w:rsidR="008A57F6" w:rsidRPr="008A57F6" w:rsidTr="001948FC">
        <w:tc>
          <w:tcPr>
            <w:tcW w:w="1345" w:type="dxa"/>
            <w:shd w:val="clear" w:color="auto" w:fill="9CC2E5" w:themeFill="accent1" w:themeFillTint="99"/>
            <w:vAlign w:val="center"/>
          </w:tcPr>
          <w:p w:rsidR="008A57F6" w:rsidRPr="008A57F6" w:rsidRDefault="008A57F6" w:rsidP="008A57F6">
            <w:pPr>
              <w:widowControl w:val="0"/>
              <w:suppressAutoHyphens/>
              <w:spacing w:before="20" w:after="20"/>
              <w:jc w:val="center"/>
            </w:pPr>
            <w:r w:rsidRPr="008A57F6">
              <w:t>Pollutant</w:t>
            </w:r>
          </w:p>
        </w:tc>
        <w:tc>
          <w:tcPr>
            <w:tcW w:w="942" w:type="dxa"/>
            <w:shd w:val="clear" w:color="auto" w:fill="9CC2E5" w:themeFill="accent1" w:themeFillTint="99"/>
            <w:vAlign w:val="center"/>
          </w:tcPr>
          <w:p w:rsidR="008A57F6" w:rsidRPr="008A57F6" w:rsidRDefault="008A57F6" w:rsidP="008A57F6">
            <w:pPr>
              <w:widowControl w:val="0"/>
              <w:suppressAutoHyphens/>
              <w:spacing w:before="20" w:after="20"/>
              <w:jc w:val="center"/>
            </w:pPr>
            <w:r w:rsidRPr="008A57F6">
              <w:t>lb/hr</w:t>
            </w:r>
          </w:p>
        </w:tc>
        <w:tc>
          <w:tcPr>
            <w:tcW w:w="1398" w:type="dxa"/>
            <w:shd w:val="clear" w:color="auto" w:fill="9CC2E5" w:themeFill="accent1" w:themeFillTint="99"/>
            <w:vAlign w:val="center"/>
          </w:tcPr>
          <w:p w:rsidR="008A57F6" w:rsidRPr="008A57F6" w:rsidRDefault="008A57F6" w:rsidP="008A57F6">
            <w:pPr>
              <w:widowControl w:val="0"/>
              <w:suppressAutoHyphens/>
              <w:spacing w:before="20" w:after="20"/>
              <w:jc w:val="center"/>
            </w:pPr>
            <w:r w:rsidRPr="008A57F6">
              <w:t xml:space="preserve">lb/MMBtu </w:t>
            </w:r>
            <w:r w:rsidRPr="008A57F6">
              <w:rPr>
                <w:b/>
                <w:sz w:val="22"/>
                <w:szCs w:val="22"/>
                <w:vertAlign w:val="superscript"/>
              </w:rPr>
              <w:t>1</w:t>
            </w:r>
          </w:p>
        </w:tc>
        <w:tc>
          <w:tcPr>
            <w:tcW w:w="1350" w:type="dxa"/>
            <w:shd w:val="clear" w:color="auto" w:fill="9CC2E5" w:themeFill="accent1" w:themeFillTint="99"/>
            <w:vAlign w:val="center"/>
          </w:tcPr>
          <w:p w:rsidR="008A57F6" w:rsidRPr="008A57F6" w:rsidRDefault="008A57F6" w:rsidP="008A57F6">
            <w:pPr>
              <w:widowControl w:val="0"/>
              <w:suppressAutoHyphens/>
              <w:spacing w:before="20" w:after="20"/>
              <w:jc w:val="center"/>
            </w:pPr>
            <w:r w:rsidRPr="008A57F6">
              <w:t xml:space="preserve">Fuel </w:t>
            </w:r>
            <w:r w:rsidRPr="008A57F6">
              <w:rPr>
                <w:b/>
                <w:sz w:val="22"/>
                <w:szCs w:val="22"/>
                <w:vertAlign w:val="superscript"/>
              </w:rPr>
              <w:t>2</w:t>
            </w:r>
          </w:p>
        </w:tc>
        <w:tc>
          <w:tcPr>
            <w:tcW w:w="2768" w:type="dxa"/>
            <w:shd w:val="clear" w:color="auto" w:fill="9CC2E5" w:themeFill="accent1" w:themeFillTint="99"/>
            <w:vAlign w:val="center"/>
          </w:tcPr>
          <w:p w:rsidR="008A57F6" w:rsidRPr="008A57F6" w:rsidRDefault="008A57F6" w:rsidP="008A57F6">
            <w:pPr>
              <w:widowControl w:val="0"/>
              <w:suppressAutoHyphens/>
              <w:spacing w:before="20" w:after="20"/>
              <w:jc w:val="center"/>
            </w:pPr>
            <w:r w:rsidRPr="008A57F6">
              <w:t>Basis</w:t>
            </w:r>
          </w:p>
        </w:tc>
        <w:tc>
          <w:tcPr>
            <w:tcW w:w="1715" w:type="dxa"/>
            <w:shd w:val="clear" w:color="auto" w:fill="9CC2E5" w:themeFill="accent1" w:themeFillTint="99"/>
            <w:vAlign w:val="center"/>
          </w:tcPr>
          <w:p w:rsidR="008A57F6" w:rsidRPr="008A57F6" w:rsidRDefault="008A57F6" w:rsidP="008A57F6">
            <w:pPr>
              <w:widowControl w:val="0"/>
              <w:suppressAutoHyphens/>
              <w:spacing w:before="20" w:after="20"/>
              <w:jc w:val="center"/>
            </w:pPr>
            <w:r w:rsidRPr="008A57F6">
              <w:t>Compliance Method</w:t>
            </w:r>
          </w:p>
        </w:tc>
      </w:tr>
      <w:tr w:rsidR="008A57F6" w:rsidRPr="008A57F6" w:rsidTr="001948FC">
        <w:trPr>
          <w:trHeight w:val="150"/>
        </w:trPr>
        <w:tc>
          <w:tcPr>
            <w:tcW w:w="1345" w:type="dxa"/>
            <w:vMerge w:val="restart"/>
            <w:vAlign w:val="center"/>
          </w:tcPr>
          <w:p w:rsidR="008A57F6" w:rsidRPr="008A57F6" w:rsidRDefault="008A57F6" w:rsidP="008A57F6">
            <w:pPr>
              <w:widowControl w:val="0"/>
              <w:suppressAutoHyphens/>
              <w:spacing w:before="20" w:after="20"/>
              <w:jc w:val="center"/>
            </w:pPr>
            <w:r w:rsidRPr="008A57F6">
              <w:t>NO</w:t>
            </w:r>
            <w:r w:rsidRPr="008A57F6">
              <w:rPr>
                <w:vertAlign w:val="subscript"/>
              </w:rPr>
              <w:t>X</w:t>
            </w:r>
          </w:p>
        </w:tc>
        <w:tc>
          <w:tcPr>
            <w:tcW w:w="942" w:type="dxa"/>
            <w:tcBorders>
              <w:bottom w:val="dotted" w:sz="4" w:space="0" w:color="auto"/>
            </w:tcBorders>
            <w:vAlign w:val="center"/>
          </w:tcPr>
          <w:p w:rsidR="008A57F6" w:rsidRPr="008A57F6" w:rsidRDefault="008A57F6" w:rsidP="008A57F6">
            <w:pPr>
              <w:widowControl w:val="0"/>
              <w:suppressAutoHyphens/>
              <w:spacing w:before="20" w:after="20"/>
              <w:jc w:val="center"/>
            </w:pPr>
            <w:r w:rsidRPr="008A57F6">
              <w:t>3.64</w:t>
            </w:r>
          </w:p>
        </w:tc>
        <w:tc>
          <w:tcPr>
            <w:tcW w:w="1398" w:type="dxa"/>
            <w:vMerge w:val="restart"/>
            <w:vAlign w:val="center"/>
          </w:tcPr>
          <w:p w:rsidR="008A57F6" w:rsidRPr="008A57F6" w:rsidRDefault="008A57F6" w:rsidP="008A57F6">
            <w:pPr>
              <w:widowControl w:val="0"/>
              <w:suppressAutoHyphens/>
              <w:spacing w:before="20" w:after="20"/>
              <w:jc w:val="center"/>
            </w:pPr>
            <w:r w:rsidRPr="008A57F6">
              <w:t xml:space="preserve">N/A </w:t>
            </w:r>
            <w:r w:rsidRPr="008A57F6">
              <w:rPr>
                <w:b/>
                <w:sz w:val="22"/>
                <w:szCs w:val="22"/>
                <w:vertAlign w:val="superscript"/>
              </w:rPr>
              <w:t>3</w:t>
            </w:r>
          </w:p>
        </w:tc>
        <w:tc>
          <w:tcPr>
            <w:tcW w:w="1350" w:type="dxa"/>
            <w:tcBorders>
              <w:bottom w:val="dotted" w:sz="4" w:space="0" w:color="auto"/>
            </w:tcBorders>
            <w:vAlign w:val="center"/>
          </w:tcPr>
          <w:p w:rsidR="008A57F6" w:rsidRPr="008A57F6" w:rsidRDefault="008A57F6" w:rsidP="008A57F6">
            <w:pPr>
              <w:widowControl w:val="0"/>
              <w:suppressAutoHyphens/>
              <w:spacing w:before="20" w:after="20"/>
              <w:jc w:val="center"/>
            </w:pPr>
            <w:r w:rsidRPr="008A57F6">
              <w:t>Natural Gas</w:t>
            </w:r>
          </w:p>
        </w:tc>
        <w:tc>
          <w:tcPr>
            <w:tcW w:w="2768" w:type="dxa"/>
            <w:vMerge w:val="restart"/>
            <w:vAlign w:val="center"/>
          </w:tcPr>
          <w:p w:rsidR="008A57F6" w:rsidRPr="008A57F6" w:rsidRDefault="008A57F6" w:rsidP="008A57F6">
            <w:pPr>
              <w:widowControl w:val="0"/>
              <w:suppressAutoHyphens/>
              <w:spacing w:before="20" w:after="20"/>
              <w:jc w:val="center"/>
            </w:pPr>
            <w:r w:rsidRPr="008A57F6">
              <w:t>Rule 62-210.200(PTE), F.A.C.</w:t>
            </w:r>
          </w:p>
        </w:tc>
        <w:tc>
          <w:tcPr>
            <w:tcW w:w="1715" w:type="dxa"/>
            <w:vMerge w:val="restart"/>
            <w:vAlign w:val="center"/>
          </w:tcPr>
          <w:p w:rsidR="008A57F6" w:rsidRPr="008A57F6" w:rsidRDefault="008A57F6" w:rsidP="008A57F6">
            <w:pPr>
              <w:widowControl w:val="0"/>
              <w:suppressAutoHyphens/>
              <w:spacing w:before="20" w:after="20"/>
              <w:jc w:val="center"/>
            </w:pPr>
            <w:r w:rsidRPr="008A57F6">
              <w:t>Annual Stack Test</w:t>
            </w:r>
          </w:p>
        </w:tc>
      </w:tr>
      <w:tr w:rsidR="008A57F6" w:rsidRPr="008A57F6" w:rsidTr="001948FC">
        <w:trPr>
          <w:trHeight w:val="150"/>
        </w:trPr>
        <w:tc>
          <w:tcPr>
            <w:tcW w:w="1345" w:type="dxa"/>
            <w:vMerge/>
            <w:vAlign w:val="center"/>
          </w:tcPr>
          <w:p w:rsidR="008A57F6" w:rsidRPr="008A57F6" w:rsidRDefault="008A57F6" w:rsidP="008A57F6">
            <w:pPr>
              <w:widowControl w:val="0"/>
              <w:suppressAutoHyphens/>
              <w:spacing w:before="20" w:after="20"/>
              <w:jc w:val="center"/>
            </w:pPr>
          </w:p>
        </w:tc>
        <w:tc>
          <w:tcPr>
            <w:tcW w:w="942" w:type="dxa"/>
            <w:tcBorders>
              <w:top w:val="dotted" w:sz="4" w:space="0" w:color="auto"/>
            </w:tcBorders>
            <w:vAlign w:val="center"/>
          </w:tcPr>
          <w:p w:rsidR="008A57F6" w:rsidRPr="008A57F6" w:rsidRDefault="008A57F6" w:rsidP="008A57F6">
            <w:pPr>
              <w:widowControl w:val="0"/>
              <w:suppressAutoHyphens/>
              <w:spacing w:before="20" w:after="20"/>
              <w:jc w:val="center"/>
            </w:pPr>
            <w:r w:rsidRPr="008A57F6">
              <w:t>12.6</w:t>
            </w:r>
          </w:p>
        </w:tc>
        <w:tc>
          <w:tcPr>
            <w:tcW w:w="1398" w:type="dxa"/>
            <w:vMerge/>
            <w:vAlign w:val="center"/>
          </w:tcPr>
          <w:p w:rsidR="008A57F6" w:rsidRPr="008A57F6" w:rsidRDefault="008A57F6" w:rsidP="008A57F6">
            <w:pPr>
              <w:widowControl w:val="0"/>
              <w:suppressAutoHyphens/>
              <w:spacing w:before="20" w:after="20"/>
              <w:jc w:val="center"/>
            </w:pPr>
          </w:p>
        </w:tc>
        <w:tc>
          <w:tcPr>
            <w:tcW w:w="1350" w:type="dxa"/>
            <w:tcBorders>
              <w:top w:val="dotted" w:sz="4" w:space="0" w:color="auto"/>
            </w:tcBorders>
          </w:tcPr>
          <w:p w:rsidR="008A57F6" w:rsidRPr="008A57F6" w:rsidRDefault="008A57F6" w:rsidP="008A57F6">
            <w:pPr>
              <w:widowControl w:val="0"/>
              <w:suppressAutoHyphens/>
              <w:spacing w:before="20" w:after="20"/>
              <w:jc w:val="center"/>
            </w:pPr>
            <w:r w:rsidRPr="008A57F6">
              <w:t>Fuel Oil</w:t>
            </w:r>
          </w:p>
        </w:tc>
        <w:tc>
          <w:tcPr>
            <w:tcW w:w="2768" w:type="dxa"/>
            <w:vMerge/>
            <w:vAlign w:val="center"/>
          </w:tcPr>
          <w:p w:rsidR="008A57F6" w:rsidRPr="008A57F6" w:rsidRDefault="008A57F6" w:rsidP="008A57F6">
            <w:pPr>
              <w:widowControl w:val="0"/>
              <w:suppressAutoHyphens/>
              <w:spacing w:before="20" w:after="20"/>
              <w:jc w:val="center"/>
            </w:pPr>
          </w:p>
        </w:tc>
        <w:tc>
          <w:tcPr>
            <w:tcW w:w="1715" w:type="dxa"/>
            <w:vMerge/>
            <w:vAlign w:val="center"/>
          </w:tcPr>
          <w:p w:rsidR="008A57F6" w:rsidRPr="008A57F6" w:rsidRDefault="008A57F6" w:rsidP="008A57F6">
            <w:pPr>
              <w:widowControl w:val="0"/>
              <w:suppressAutoHyphens/>
              <w:spacing w:before="20" w:after="20"/>
              <w:jc w:val="center"/>
            </w:pPr>
          </w:p>
        </w:tc>
      </w:tr>
      <w:tr w:rsidR="008A57F6" w:rsidRPr="008A57F6" w:rsidTr="001948FC">
        <w:tc>
          <w:tcPr>
            <w:tcW w:w="1345" w:type="dxa"/>
            <w:vAlign w:val="center"/>
          </w:tcPr>
          <w:p w:rsidR="008A57F6" w:rsidRPr="008A57F6" w:rsidRDefault="008A57F6" w:rsidP="008A57F6">
            <w:pPr>
              <w:widowControl w:val="0"/>
              <w:suppressAutoHyphens/>
              <w:spacing w:before="20" w:after="20"/>
              <w:jc w:val="center"/>
            </w:pPr>
            <w:r w:rsidRPr="008A57F6">
              <w:t>SO</w:t>
            </w:r>
            <w:r w:rsidRPr="008A57F6">
              <w:rPr>
                <w:vertAlign w:val="subscript"/>
              </w:rPr>
              <w:t>2</w:t>
            </w:r>
          </w:p>
        </w:tc>
        <w:tc>
          <w:tcPr>
            <w:tcW w:w="942" w:type="dxa"/>
            <w:vMerge w:val="restart"/>
            <w:vAlign w:val="center"/>
          </w:tcPr>
          <w:p w:rsidR="008A57F6" w:rsidRPr="008A57F6" w:rsidRDefault="008A57F6" w:rsidP="008A57F6">
            <w:pPr>
              <w:widowControl w:val="0"/>
              <w:suppressAutoHyphens/>
              <w:spacing w:before="20" w:after="20"/>
              <w:jc w:val="center"/>
            </w:pPr>
            <w:r w:rsidRPr="008A57F6">
              <w:t>N/A</w:t>
            </w:r>
          </w:p>
        </w:tc>
        <w:tc>
          <w:tcPr>
            <w:tcW w:w="1398" w:type="dxa"/>
            <w:vAlign w:val="center"/>
          </w:tcPr>
          <w:p w:rsidR="008A57F6" w:rsidRPr="008A57F6" w:rsidRDefault="008A57F6" w:rsidP="008A57F6">
            <w:pPr>
              <w:widowControl w:val="0"/>
              <w:suppressAutoHyphens/>
              <w:spacing w:before="20" w:after="20"/>
              <w:jc w:val="center"/>
            </w:pPr>
            <w:r w:rsidRPr="008A57F6">
              <w:t>050</w:t>
            </w:r>
          </w:p>
        </w:tc>
        <w:tc>
          <w:tcPr>
            <w:tcW w:w="1350" w:type="dxa"/>
            <w:vMerge w:val="restart"/>
            <w:vAlign w:val="center"/>
          </w:tcPr>
          <w:p w:rsidR="008A57F6" w:rsidRPr="008A57F6" w:rsidRDefault="008A57F6" w:rsidP="008A57F6">
            <w:pPr>
              <w:widowControl w:val="0"/>
              <w:suppressAutoHyphens/>
              <w:spacing w:before="20" w:after="20"/>
              <w:jc w:val="center"/>
            </w:pPr>
            <w:r w:rsidRPr="008A57F6">
              <w:t>Fuel Oil</w:t>
            </w:r>
          </w:p>
        </w:tc>
        <w:tc>
          <w:tcPr>
            <w:tcW w:w="2768" w:type="dxa"/>
            <w:vAlign w:val="center"/>
          </w:tcPr>
          <w:p w:rsidR="008A57F6" w:rsidRPr="008A57F6" w:rsidRDefault="008A57F6" w:rsidP="008A57F6">
            <w:pPr>
              <w:widowControl w:val="0"/>
              <w:suppressAutoHyphens/>
              <w:spacing w:before="20" w:after="20"/>
              <w:jc w:val="center"/>
            </w:pPr>
            <w:r w:rsidRPr="008A57F6">
              <w:t>NSPS Subpart Dc</w:t>
            </w:r>
          </w:p>
        </w:tc>
        <w:tc>
          <w:tcPr>
            <w:tcW w:w="1715" w:type="dxa"/>
            <w:vMerge/>
            <w:vAlign w:val="center"/>
          </w:tcPr>
          <w:p w:rsidR="008A57F6" w:rsidRPr="008A57F6" w:rsidRDefault="008A57F6" w:rsidP="008A57F6">
            <w:pPr>
              <w:widowControl w:val="0"/>
              <w:suppressAutoHyphens/>
              <w:spacing w:before="20" w:after="20"/>
              <w:jc w:val="center"/>
            </w:pPr>
          </w:p>
        </w:tc>
      </w:tr>
      <w:tr w:rsidR="008A57F6" w:rsidRPr="008A57F6" w:rsidTr="001948FC">
        <w:tc>
          <w:tcPr>
            <w:tcW w:w="1345" w:type="dxa"/>
            <w:vAlign w:val="center"/>
          </w:tcPr>
          <w:p w:rsidR="008A57F6" w:rsidRPr="008A57F6" w:rsidRDefault="008A57F6" w:rsidP="008A57F6">
            <w:pPr>
              <w:widowControl w:val="0"/>
              <w:suppressAutoHyphens/>
              <w:spacing w:before="20" w:after="20"/>
              <w:jc w:val="center"/>
            </w:pPr>
            <w:r w:rsidRPr="008A57F6">
              <w:t>PM</w:t>
            </w:r>
          </w:p>
        </w:tc>
        <w:tc>
          <w:tcPr>
            <w:tcW w:w="942" w:type="dxa"/>
            <w:vMerge/>
            <w:vAlign w:val="center"/>
          </w:tcPr>
          <w:p w:rsidR="008A57F6" w:rsidRPr="008A57F6" w:rsidRDefault="008A57F6" w:rsidP="008A57F6">
            <w:pPr>
              <w:widowControl w:val="0"/>
              <w:suppressAutoHyphens/>
              <w:spacing w:before="20" w:after="20"/>
              <w:jc w:val="center"/>
            </w:pPr>
          </w:p>
        </w:tc>
        <w:tc>
          <w:tcPr>
            <w:tcW w:w="1398" w:type="dxa"/>
            <w:vAlign w:val="center"/>
          </w:tcPr>
          <w:p w:rsidR="008A57F6" w:rsidRPr="008A57F6" w:rsidRDefault="008A57F6" w:rsidP="008A57F6">
            <w:pPr>
              <w:widowControl w:val="0"/>
              <w:suppressAutoHyphens/>
              <w:spacing w:before="20" w:after="20"/>
              <w:jc w:val="center"/>
            </w:pPr>
            <w:r w:rsidRPr="008A57F6">
              <w:t>0.03</w:t>
            </w:r>
          </w:p>
        </w:tc>
        <w:tc>
          <w:tcPr>
            <w:tcW w:w="1350" w:type="dxa"/>
            <w:vMerge/>
          </w:tcPr>
          <w:p w:rsidR="008A57F6" w:rsidRPr="008A57F6" w:rsidRDefault="008A57F6" w:rsidP="008A57F6">
            <w:pPr>
              <w:widowControl w:val="0"/>
              <w:suppressAutoHyphens/>
              <w:spacing w:before="20" w:after="20"/>
              <w:jc w:val="center"/>
            </w:pPr>
          </w:p>
        </w:tc>
        <w:tc>
          <w:tcPr>
            <w:tcW w:w="2768" w:type="dxa"/>
            <w:vAlign w:val="center"/>
          </w:tcPr>
          <w:p w:rsidR="008A57F6" w:rsidRPr="008A57F6" w:rsidRDefault="008A57F6" w:rsidP="008A57F6">
            <w:pPr>
              <w:widowControl w:val="0"/>
              <w:suppressAutoHyphens/>
              <w:spacing w:before="20" w:after="20"/>
              <w:jc w:val="center"/>
            </w:pPr>
            <w:r w:rsidRPr="008A57F6">
              <w:t>NSPS Subpart Dc and NESHAP Subpart JJJJJJ</w:t>
            </w:r>
          </w:p>
        </w:tc>
        <w:tc>
          <w:tcPr>
            <w:tcW w:w="1715" w:type="dxa"/>
            <w:vMerge/>
            <w:vAlign w:val="center"/>
          </w:tcPr>
          <w:p w:rsidR="008A57F6" w:rsidRPr="008A57F6" w:rsidRDefault="008A57F6" w:rsidP="008A57F6">
            <w:pPr>
              <w:widowControl w:val="0"/>
              <w:suppressAutoHyphens/>
              <w:spacing w:before="20" w:after="20"/>
              <w:jc w:val="center"/>
            </w:pPr>
          </w:p>
        </w:tc>
      </w:tr>
      <w:tr w:rsidR="008A57F6" w:rsidRPr="008A57F6" w:rsidTr="001948FC">
        <w:trPr>
          <w:trHeight w:val="135"/>
        </w:trPr>
        <w:tc>
          <w:tcPr>
            <w:tcW w:w="1345" w:type="dxa"/>
            <w:vMerge w:val="restart"/>
            <w:vAlign w:val="center"/>
          </w:tcPr>
          <w:p w:rsidR="008A57F6" w:rsidRPr="008A57F6" w:rsidRDefault="008A57F6" w:rsidP="008A57F6">
            <w:pPr>
              <w:widowControl w:val="0"/>
              <w:suppressAutoHyphens/>
              <w:spacing w:before="20" w:after="20"/>
              <w:jc w:val="center"/>
            </w:pPr>
            <w:r w:rsidRPr="008A57F6">
              <w:t xml:space="preserve">Opacity </w:t>
            </w:r>
            <w:r w:rsidRPr="008A57F6">
              <w:rPr>
                <w:b/>
                <w:sz w:val="22"/>
                <w:szCs w:val="22"/>
                <w:vertAlign w:val="superscript"/>
              </w:rPr>
              <w:t>4</w:t>
            </w:r>
          </w:p>
        </w:tc>
        <w:tc>
          <w:tcPr>
            <w:tcW w:w="942" w:type="dxa"/>
            <w:vMerge/>
            <w:vAlign w:val="center"/>
          </w:tcPr>
          <w:p w:rsidR="008A57F6" w:rsidRPr="008A57F6" w:rsidRDefault="008A57F6" w:rsidP="008A57F6">
            <w:pPr>
              <w:widowControl w:val="0"/>
              <w:suppressAutoHyphens/>
              <w:spacing w:before="20" w:after="20"/>
              <w:jc w:val="center"/>
            </w:pPr>
          </w:p>
        </w:tc>
        <w:tc>
          <w:tcPr>
            <w:tcW w:w="1398" w:type="dxa"/>
            <w:vMerge w:val="restart"/>
            <w:vAlign w:val="center"/>
          </w:tcPr>
          <w:p w:rsidR="008A57F6" w:rsidRPr="008A57F6" w:rsidRDefault="008A57F6" w:rsidP="008A57F6">
            <w:pPr>
              <w:widowControl w:val="0"/>
              <w:suppressAutoHyphens/>
              <w:spacing w:before="20" w:after="20"/>
              <w:jc w:val="center"/>
            </w:pPr>
            <w:r w:rsidRPr="008A57F6">
              <w:t>20/27</w:t>
            </w:r>
          </w:p>
        </w:tc>
        <w:tc>
          <w:tcPr>
            <w:tcW w:w="1350" w:type="dxa"/>
            <w:tcBorders>
              <w:bottom w:val="dotted" w:sz="4" w:space="0" w:color="auto"/>
            </w:tcBorders>
          </w:tcPr>
          <w:p w:rsidR="008A57F6" w:rsidRPr="008A57F6" w:rsidRDefault="008A57F6" w:rsidP="008A57F6">
            <w:pPr>
              <w:widowControl w:val="0"/>
              <w:suppressAutoHyphens/>
              <w:spacing w:before="20" w:after="20"/>
              <w:jc w:val="center"/>
            </w:pPr>
            <w:r w:rsidRPr="008A57F6">
              <w:t>Fuel Oil</w:t>
            </w:r>
          </w:p>
        </w:tc>
        <w:tc>
          <w:tcPr>
            <w:tcW w:w="2768" w:type="dxa"/>
            <w:tcBorders>
              <w:bottom w:val="dotted" w:sz="4" w:space="0" w:color="auto"/>
            </w:tcBorders>
            <w:vAlign w:val="center"/>
          </w:tcPr>
          <w:p w:rsidR="008A57F6" w:rsidRPr="008A57F6" w:rsidRDefault="008A57F6" w:rsidP="00D13E24">
            <w:pPr>
              <w:widowControl w:val="0"/>
              <w:suppressAutoHyphens/>
              <w:spacing w:before="20" w:after="20"/>
              <w:jc w:val="center"/>
            </w:pPr>
            <w:r w:rsidRPr="008A57F6">
              <w:t>NSP</w:t>
            </w:r>
            <w:r w:rsidR="00D13E24">
              <w:t>S</w:t>
            </w:r>
            <w:r w:rsidRPr="008A57F6">
              <w:t xml:space="preserve"> Subpart Dc</w:t>
            </w:r>
          </w:p>
        </w:tc>
        <w:tc>
          <w:tcPr>
            <w:tcW w:w="1715" w:type="dxa"/>
            <w:vMerge/>
            <w:vAlign w:val="center"/>
          </w:tcPr>
          <w:p w:rsidR="008A57F6" w:rsidRPr="008A57F6" w:rsidRDefault="008A57F6" w:rsidP="008A57F6">
            <w:pPr>
              <w:widowControl w:val="0"/>
              <w:suppressAutoHyphens/>
              <w:spacing w:before="20" w:after="20"/>
              <w:jc w:val="center"/>
            </w:pPr>
          </w:p>
        </w:tc>
      </w:tr>
      <w:tr w:rsidR="008A57F6" w:rsidRPr="008A57F6" w:rsidTr="001948FC">
        <w:trPr>
          <w:trHeight w:val="135"/>
        </w:trPr>
        <w:tc>
          <w:tcPr>
            <w:tcW w:w="1345" w:type="dxa"/>
            <w:vMerge/>
            <w:vAlign w:val="center"/>
          </w:tcPr>
          <w:p w:rsidR="008A57F6" w:rsidRPr="008A57F6" w:rsidRDefault="008A57F6" w:rsidP="008A57F6">
            <w:pPr>
              <w:widowControl w:val="0"/>
              <w:suppressAutoHyphens/>
              <w:spacing w:before="20" w:after="20"/>
              <w:jc w:val="center"/>
            </w:pPr>
          </w:p>
        </w:tc>
        <w:tc>
          <w:tcPr>
            <w:tcW w:w="942" w:type="dxa"/>
            <w:vMerge/>
            <w:vAlign w:val="center"/>
          </w:tcPr>
          <w:p w:rsidR="008A57F6" w:rsidRPr="008A57F6" w:rsidRDefault="008A57F6" w:rsidP="008A57F6">
            <w:pPr>
              <w:widowControl w:val="0"/>
              <w:suppressAutoHyphens/>
              <w:spacing w:before="20" w:after="20"/>
              <w:jc w:val="center"/>
            </w:pPr>
          </w:p>
        </w:tc>
        <w:tc>
          <w:tcPr>
            <w:tcW w:w="1398" w:type="dxa"/>
            <w:vMerge/>
            <w:vAlign w:val="center"/>
          </w:tcPr>
          <w:p w:rsidR="008A57F6" w:rsidRPr="008A57F6" w:rsidRDefault="008A57F6" w:rsidP="008A57F6">
            <w:pPr>
              <w:widowControl w:val="0"/>
              <w:suppressAutoHyphens/>
              <w:spacing w:before="20" w:after="20"/>
              <w:jc w:val="center"/>
            </w:pPr>
          </w:p>
        </w:tc>
        <w:tc>
          <w:tcPr>
            <w:tcW w:w="1350" w:type="dxa"/>
            <w:tcBorders>
              <w:top w:val="dotted" w:sz="4" w:space="0" w:color="auto"/>
            </w:tcBorders>
          </w:tcPr>
          <w:p w:rsidR="008A57F6" w:rsidRPr="008A57F6" w:rsidRDefault="008A57F6" w:rsidP="008A57F6">
            <w:pPr>
              <w:widowControl w:val="0"/>
              <w:suppressAutoHyphens/>
              <w:spacing w:before="20" w:after="20"/>
              <w:jc w:val="center"/>
            </w:pPr>
            <w:r w:rsidRPr="008A57F6">
              <w:t>Natural Gas</w:t>
            </w:r>
          </w:p>
        </w:tc>
        <w:tc>
          <w:tcPr>
            <w:tcW w:w="2768" w:type="dxa"/>
            <w:tcBorders>
              <w:top w:val="dotted" w:sz="4" w:space="0" w:color="auto"/>
            </w:tcBorders>
            <w:vAlign w:val="center"/>
          </w:tcPr>
          <w:p w:rsidR="008A57F6" w:rsidRPr="008A57F6" w:rsidRDefault="008A57F6" w:rsidP="008A57F6">
            <w:pPr>
              <w:widowControl w:val="0"/>
              <w:suppressAutoHyphens/>
              <w:spacing w:before="20" w:after="20"/>
              <w:jc w:val="center"/>
            </w:pPr>
            <w:r w:rsidRPr="008A57F6">
              <w:t xml:space="preserve">Rule </w:t>
            </w:r>
            <w:r w:rsidRPr="008A57F6">
              <w:rPr>
                <w:bCs/>
              </w:rPr>
              <w:t>62-296.406</w:t>
            </w:r>
            <w:r w:rsidRPr="008A57F6">
              <w:t>, F.A.C.</w:t>
            </w:r>
          </w:p>
        </w:tc>
        <w:tc>
          <w:tcPr>
            <w:tcW w:w="1715" w:type="dxa"/>
            <w:vMerge/>
            <w:vAlign w:val="center"/>
          </w:tcPr>
          <w:p w:rsidR="008A57F6" w:rsidRPr="008A57F6" w:rsidRDefault="008A57F6" w:rsidP="008A57F6">
            <w:pPr>
              <w:widowControl w:val="0"/>
              <w:suppressAutoHyphens/>
              <w:spacing w:before="20" w:after="20"/>
              <w:jc w:val="center"/>
            </w:pPr>
          </w:p>
        </w:tc>
      </w:tr>
      <w:tr w:rsidR="008A57F6" w:rsidRPr="008A57F6" w:rsidTr="001948FC">
        <w:tc>
          <w:tcPr>
            <w:tcW w:w="9518" w:type="dxa"/>
            <w:gridSpan w:val="6"/>
          </w:tcPr>
          <w:p w:rsidR="008A57F6" w:rsidRPr="008A57F6" w:rsidRDefault="008A57F6" w:rsidP="008A57F6">
            <w:pPr>
              <w:widowControl w:val="0"/>
              <w:numPr>
                <w:ilvl w:val="0"/>
                <w:numId w:val="22"/>
              </w:numPr>
              <w:suppressAutoHyphens/>
              <w:spacing w:before="20" w:after="20"/>
              <w:rPr>
                <w:sz w:val="18"/>
                <w:szCs w:val="18"/>
              </w:rPr>
            </w:pPr>
            <w:r w:rsidRPr="008A57F6">
              <w:rPr>
                <w:sz w:val="18"/>
                <w:szCs w:val="18"/>
              </w:rPr>
              <w:t>Opacity limits are in percent (%) visible emissions (VE).</w:t>
            </w:r>
          </w:p>
          <w:p w:rsidR="008A57F6" w:rsidRPr="008A57F6" w:rsidRDefault="008A57F6" w:rsidP="00D13E24">
            <w:pPr>
              <w:widowControl w:val="0"/>
              <w:numPr>
                <w:ilvl w:val="0"/>
                <w:numId w:val="22"/>
              </w:numPr>
              <w:suppressAutoHyphens/>
              <w:spacing w:before="20" w:after="20"/>
              <w:rPr>
                <w:sz w:val="18"/>
                <w:szCs w:val="18"/>
              </w:rPr>
            </w:pPr>
            <w:r w:rsidRPr="008A57F6">
              <w:rPr>
                <w:sz w:val="18"/>
                <w:szCs w:val="18"/>
              </w:rPr>
              <w:t>Fuel oil limits only apply when oil is fired in backup boiler No. 6 for more than 48 hours in a calendar year</w:t>
            </w:r>
            <w:r w:rsidR="00D13E24">
              <w:t xml:space="preserve"> </w:t>
            </w:r>
            <w:r w:rsidR="00D13E24" w:rsidRPr="00D13E24">
              <w:rPr>
                <w:sz w:val="18"/>
                <w:szCs w:val="18"/>
              </w:rPr>
              <w:t>excluding periods of natural gas supply curtailment and interruption</w:t>
            </w:r>
            <w:r w:rsidRPr="008A57F6">
              <w:rPr>
                <w:sz w:val="18"/>
                <w:szCs w:val="18"/>
              </w:rPr>
              <w:t>.</w:t>
            </w:r>
          </w:p>
          <w:p w:rsidR="008A57F6" w:rsidRPr="008A57F6" w:rsidRDefault="008A57F6" w:rsidP="008A57F6">
            <w:pPr>
              <w:widowControl w:val="0"/>
              <w:numPr>
                <w:ilvl w:val="0"/>
                <w:numId w:val="22"/>
              </w:numPr>
              <w:suppressAutoHyphens/>
              <w:spacing w:before="20" w:after="20"/>
              <w:rPr>
                <w:sz w:val="18"/>
                <w:szCs w:val="18"/>
              </w:rPr>
            </w:pPr>
            <w:r w:rsidRPr="008A57F6">
              <w:rPr>
                <w:sz w:val="18"/>
                <w:szCs w:val="18"/>
              </w:rPr>
              <w:t>N/A = not applicable.</w:t>
            </w:r>
          </w:p>
          <w:p w:rsidR="008A57F6" w:rsidRPr="008A57F6" w:rsidRDefault="008A57F6" w:rsidP="008A57F6">
            <w:pPr>
              <w:widowControl w:val="0"/>
              <w:numPr>
                <w:ilvl w:val="0"/>
                <w:numId w:val="22"/>
              </w:numPr>
              <w:suppressAutoHyphens/>
              <w:spacing w:before="20" w:after="20"/>
              <w:rPr>
                <w:sz w:val="18"/>
                <w:szCs w:val="18"/>
              </w:rPr>
            </w:pPr>
            <w:r w:rsidRPr="008A57F6">
              <w:rPr>
                <w:sz w:val="18"/>
                <w:szCs w:val="18"/>
              </w:rPr>
              <w:t>VE when firing any authorized fuel shall not exceed 20% opacity except for one, 6-minute block average per hour not to exceed 27% opacity</w:t>
            </w:r>
          </w:p>
        </w:tc>
      </w:tr>
    </w:tbl>
    <w:p w:rsidR="00193F10" w:rsidRPr="000B4B28" w:rsidRDefault="00193F10" w:rsidP="008A57F6">
      <w:pPr>
        <w:pStyle w:val="ListParagraph"/>
        <w:numPr>
          <w:ilvl w:val="0"/>
          <w:numId w:val="14"/>
        </w:numPr>
        <w:spacing w:before="120" w:after="120"/>
        <w:ind w:left="720" w:hanging="720"/>
        <w:contextualSpacing w:val="0"/>
        <w:rPr>
          <w:b/>
          <w:caps/>
          <w:sz w:val="22"/>
        </w:rPr>
      </w:pPr>
      <w:r w:rsidRPr="000B4B28">
        <w:rPr>
          <w:b/>
          <w:caps/>
          <w:sz w:val="22"/>
        </w:rPr>
        <w:t>Preliminary Determination</w:t>
      </w:r>
    </w:p>
    <w:p w:rsidR="00193F10" w:rsidRPr="00AF6B35" w:rsidRDefault="00193F10" w:rsidP="00AF6B35">
      <w:pPr>
        <w:spacing w:after="120"/>
        <w:rPr>
          <w:sz w:val="22"/>
          <w:szCs w:val="22"/>
        </w:rPr>
      </w:pPr>
      <w:r>
        <w:rPr>
          <w:sz w:val="22"/>
        </w:rPr>
        <w:t xml:space="preserve">The Department makes a preliminary determination that the proposed project will comply with all applicable state and federal air pollution regulations as conditioned by the draft permit.  This determination is based on a technical review of the complete application, reasonable assurances provided by the applicant, and the conditions specified in the draft permit.  </w:t>
      </w:r>
      <w:r w:rsidR="008A57F6">
        <w:rPr>
          <w:sz w:val="22"/>
        </w:rPr>
        <w:t>David Read, PE</w:t>
      </w:r>
      <w:r w:rsidR="00F4574C">
        <w:rPr>
          <w:sz w:val="22"/>
        </w:rPr>
        <w:t xml:space="preserve"> </w:t>
      </w:r>
      <w:r>
        <w:rPr>
          <w:sz w:val="22"/>
        </w:rPr>
        <w:t xml:space="preserve">is the project engineer responsible for reviewing the application and drafting the permit.  Additional details of this analysis may be obtained by contacting the project engineer </w:t>
      </w:r>
      <w:r w:rsidR="008A57F6">
        <w:rPr>
          <w:sz w:val="22"/>
        </w:rPr>
        <w:t xml:space="preserve">by mail </w:t>
      </w:r>
      <w:r>
        <w:rPr>
          <w:sz w:val="22"/>
        </w:rPr>
        <w:t xml:space="preserve">at the </w:t>
      </w:r>
      <w:r w:rsidR="00187B1B">
        <w:rPr>
          <w:sz w:val="22"/>
        </w:rPr>
        <w:t>Department</w:t>
      </w:r>
      <w:r w:rsidR="007B635A">
        <w:rPr>
          <w:sz w:val="22"/>
        </w:rPr>
        <w:t>'</w:t>
      </w:r>
      <w:r w:rsidR="00187B1B">
        <w:rPr>
          <w:sz w:val="22"/>
        </w:rPr>
        <w:t xml:space="preserve">s </w:t>
      </w:r>
      <w:r w:rsidR="007B635A">
        <w:rPr>
          <w:sz w:val="22"/>
        </w:rPr>
        <w:t>Air Permitting and Compliance Section</w:t>
      </w:r>
      <w:r w:rsidR="00187B1B">
        <w:rPr>
          <w:sz w:val="22"/>
        </w:rPr>
        <w:t>, 2600 Blair Stone Road, MS #5505, Tallahassee, FL, 32399-2400</w:t>
      </w:r>
      <w:r w:rsidR="008A57F6">
        <w:rPr>
          <w:sz w:val="22"/>
        </w:rPr>
        <w:t xml:space="preserve">, by email at </w:t>
      </w:r>
      <w:hyperlink r:id="rId22" w:history="1">
        <w:r w:rsidR="008A57F6" w:rsidRPr="000B62BA">
          <w:rPr>
            <w:rStyle w:val="Hyperlink"/>
            <w:sz w:val="22"/>
          </w:rPr>
          <w:t>david.read@dep.state.fl.us</w:t>
        </w:r>
      </w:hyperlink>
      <w:r w:rsidR="008A57F6">
        <w:rPr>
          <w:sz w:val="22"/>
        </w:rPr>
        <w:t xml:space="preserve"> or by phone at</w:t>
      </w:r>
      <w:r w:rsidR="00187B1B" w:rsidRPr="009A5EC0">
        <w:rPr>
          <w:sz w:val="22"/>
          <w:szCs w:val="22"/>
        </w:rPr>
        <w:t xml:space="preserve"> 850/</w:t>
      </w:r>
      <w:r w:rsidR="008A57F6">
        <w:rPr>
          <w:sz w:val="22"/>
          <w:szCs w:val="22"/>
        </w:rPr>
        <w:t>717-9075</w:t>
      </w:r>
      <w:r w:rsidR="00187B1B">
        <w:rPr>
          <w:sz w:val="22"/>
          <w:szCs w:val="22"/>
        </w:rPr>
        <w:t>.</w:t>
      </w:r>
    </w:p>
    <w:sectPr w:rsidR="00193F10" w:rsidRPr="00AF6B35" w:rsidSect="00E50051">
      <w:headerReference w:type="default" r:id="rId23"/>
      <w:footerReference w:type="default" r:id="rId24"/>
      <w:headerReference w:type="first" r:id="rId25"/>
      <w:footerReference w:type="first" r:id="rId26"/>
      <w:pgSz w:w="12240" w:h="15840" w:code="1"/>
      <w:pgMar w:top="720" w:right="1080" w:bottom="720" w:left="1080" w:header="720" w:footer="720" w:gutter="0"/>
      <w:paperSrc w:first="15" w:other="15"/>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1948FC" w:rsidRDefault="001948FC">
      <w:r>
        <w:separator/>
      </w:r>
    </w:p>
  </w:endnote>
  <w:endnote w:type="continuationSeparator" w:id="0">
    <w:p w:rsidR="001948FC" w:rsidRDefault="001948F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Math">
    <w:panose1 w:val="02040503050406030204"/>
    <w:charset w:val="00"/>
    <w:family w:val="roman"/>
    <w:pitch w:val="variable"/>
    <w:sig w:usb0="E00002FF" w:usb1="420024FF" w:usb2="00000000" w:usb3="00000000" w:csb0="0000019F" w:csb1="00000000"/>
  </w:font>
  <w:font w:name="Times New Roman Bold">
    <w:panose1 w:val="02020803070505020304"/>
    <w:charset w:val="00"/>
    <w:family w:val="roman"/>
    <w:pitch w:val="default"/>
  </w:font>
  <w:font w:name="Calibri">
    <w:panose1 w:val="020F0502020204030204"/>
    <w:charset w:val="00"/>
    <w:family w:val="swiss"/>
    <w:pitch w:val="variable"/>
    <w:sig w:usb0="E00002FF" w:usb1="4000ACFF" w:usb2="00000001" w:usb3="00000000" w:csb0="0000019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948FC" w:rsidRPr="001D247F" w:rsidRDefault="001948FC" w:rsidP="00535AAF">
    <w:pPr>
      <w:pBdr>
        <w:top w:val="single" w:sz="6" w:space="1" w:color="auto"/>
      </w:pBdr>
      <w:tabs>
        <w:tab w:val="right" w:pos="10080"/>
      </w:tabs>
      <w:spacing w:before="240"/>
      <w:rPr>
        <w:rStyle w:val="PageNumber"/>
        <w:sz w:val="18"/>
      </w:rPr>
    </w:pPr>
    <w:r>
      <w:rPr>
        <w:rStyle w:val="PageNumber"/>
        <w:sz w:val="18"/>
      </w:rPr>
      <w:t>Duke Energy Florida,</w:t>
    </w:r>
    <w:r w:rsidRPr="001D247F">
      <w:rPr>
        <w:rStyle w:val="PageNumber"/>
        <w:sz w:val="18"/>
      </w:rPr>
      <w:t xml:space="preserve"> Inc.</w:t>
    </w:r>
    <w:r>
      <w:rPr>
        <w:rStyle w:val="PageNumber"/>
        <w:sz w:val="18"/>
      </w:rPr>
      <w:t xml:space="preserve"> (DEF)</w:t>
    </w:r>
    <w:r w:rsidRPr="001D247F">
      <w:rPr>
        <w:rStyle w:val="PageNumber"/>
        <w:sz w:val="18"/>
      </w:rPr>
      <w:t xml:space="preserve"> </w:t>
    </w:r>
    <w:r w:rsidRPr="001D247F">
      <w:rPr>
        <w:rStyle w:val="PageNumber"/>
        <w:sz w:val="18"/>
      </w:rPr>
      <w:tab/>
      <w:t>Project No. 0010001-0</w:t>
    </w:r>
    <w:r>
      <w:rPr>
        <w:rStyle w:val="PageNumber"/>
        <w:sz w:val="18"/>
      </w:rPr>
      <w:t>14</w:t>
    </w:r>
    <w:r w:rsidRPr="001D247F">
      <w:rPr>
        <w:rStyle w:val="PageNumber"/>
        <w:sz w:val="18"/>
      </w:rPr>
      <w:t>-AC</w:t>
    </w:r>
    <w:r>
      <w:rPr>
        <w:rStyle w:val="PageNumber"/>
        <w:sz w:val="18"/>
      </w:rPr>
      <w:t xml:space="preserve"> (PSD-FL-181C)</w:t>
    </w:r>
  </w:p>
  <w:p w:rsidR="001948FC" w:rsidRPr="002A28C2" w:rsidRDefault="001948FC" w:rsidP="00535AAF">
    <w:pPr>
      <w:pBdr>
        <w:top w:val="single" w:sz="6" w:space="1" w:color="auto"/>
      </w:pBdr>
      <w:tabs>
        <w:tab w:val="right" w:pos="10080"/>
      </w:tabs>
      <w:rPr>
        <w:rStyle w:val="PageNumber"/>
        <w:sz w:val="18"/>
      </w:rPr>
    </w:pPr>
    <w:r w:rsidRPr="001D247F">
      <w:rPr>
        <w:rStyle w:val="PageNumber"/>
        <w:sz w:val="18"/>
      </w:rPr>
      <w:t>University of Florida Cogeneration Plant</w:t>
    </w:r>
    <w:r w:rsidRPr="001D247F">
      <w:rPr>
        <w:rStyle w:val="PageNumber"/>
        <w:sz w:val="18"/>
      </w:rPr>
      <w:tab/>
    </w:r>
    <w:r>
      <w:rPr>
        <w:rStyle w:val="PageNumber"/>
        <w:sz w:val="18"/>
      </w:rPr>
      <w:t>Boiler Replacement Project</w:t>
    </w:r>
  </w:p>
  <w:p w:rsidR="001948FC" w:rsidRDefault="001948FC">
    <w:pPr>
      <w:pStyle w:val="Footer"/>
      <w:tabs>
        <w:tab w:val="clear" w:pos="4320"/>
        <w:tab w:val="clear" w:pos="8640"/>
      </w:tabs>
      <w:jc w:val="center"/>
    </w:pPr>
    <w:r>
      <w:rPr>
        <w:rStyle w:val="PageNumber"/>
      </w:rPr>
      <w:t xml:space="preserve">Page </w:t>
    </w:r>
    <w:r>
      <w:rPr>
        <w:rStyle w:val="PageNumber"/>
      </w:rPr>
      <w:fldChar w:fldCharType="begin"/>
    </w:r>
    <w:r>
      <w:rPr>
        <w:rStyle w:val="PageNumber"/>
      </w:rPr>
      <w:instrText xml:space="preserve"> PAGE </w:instrText>
    </w:r>
    <w:r>
      <w:rPr>
        <w:rStyle w:val="PageNumber"/>
      </w:rPr>
      <w:fldChar w:fldCharType="separate"/>
    </w:r>
    <w:r w:rsidR="00FD588D">
      <w:rPr>
        <w:rStyle w:val="PageNumber"/>
        <w:noProof/>
      </w:rPr>
      <w:t>3</w:t>
    </w:r>
    <w:r>
      <w:rPr>
        <w:rStyle w:val="PageNumber"/>
      </w:rPr>
      <w:fldChar w:fldCharType="end"/>
    </w:r>
    <w:r>
      <w:rPr>
        <w:rStyle w:val="PageNumber"/>
      </w:rPr>
      <w:t xml:space="preserve"> of </w:t>
    </w:r>
    <w:r>
      <w:rPr>
        <w:rStyle w:val="PageNumber"/>
      </w:rPr>
      <w:fldChar w:fldCharType="begin"/>
    </w:r>
    <w:r>
      <w:rPr>
        <w:rStyle w:val="PageNumber"/>
      </w:rPr>
      <w:instrText xml:space="preserve"> NUMPAGES </w:instrText>
    </w:r>
    <w:r>
      <w:rPr>
        <w:rStyle w:val="PageNumber"/>
      </w:rPr>
      <w:fldChar w:fldCharType="separate"/>
    </w:r>
    <w:r w:rsidR="00FD588D">
      <w:rPr>
        <w:rStyle w:val="PageNumber"/>
        <w:noProof/>
      </w:rPr>
      <w:t>8</w:t>
    </w:r>
    <w:r>
      <w:rPr>
        <w:rStyle w:val="PageNumber"/>
      </w:rP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948FC" w:rsidRDefault="001948FC">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1948FC" w:rsidRDefault="001948FC">
      <w:r>
        <w:separator/>
      </w:r>
    </w:p>
  </w:footnote>
  <w:footnote w:type="continuationSeparator" w:id="0">
    <w:p w:rsidR="001948FC" w:rsidRDefault="001948FC">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948FC" w:rsidRDefault="001948FC">
    <w:pPr>
      <w:pStyle w:val="Header"/>
      <w:pBdr>
        <w:bottom w:val="single" w:sz="6" w:space="1" w:color="auto"/>
      </w:pBdr>
      <w:spacing w:after="240"/>
      <w:jc w:val="center"/>
      <w:rPr>
        <w:b/>
        <w:caps/>
        <w:sz w:val="22"/>
        <w:u w:val="single"/>
      </w:rPr>
    </w:pPr>
    <w:r>
      <w:rPr>
        <w:b/>
        <w:caps/>
        <w:sz w:val="22"/>
      </w:rPr>
      <w:t>TECHNICAL EVALUATION and PRELIMINARY DETERMINATION</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948FC" w:rsidRDefault="001948FC">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67B4440"/>
    <w:multiLevelType w:val="hybridMultilevel"/>
    <w:tmpl w:val="0AC23756"/>
    <w:lvl w:ilvl="0" w:tplc="72CEAFDC">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
    <w:nsid w:val="0AD079DA"/>
    <w:multiLevelType w:val="hybridMultilevel"/>
    <w:tmpl w:val="0A26C17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
    <w:nsid w:val="14344568"/>
    <w:multiLevelType w:val="hybridMultilevel"/>
    <w:tmpl w:val="B654674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
    <w:nsid w:val="1A1B3C13"/>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
    <w:nsid w:val="1B9A17C9"/>
    <w:multiLevelType w:val="multilevel"/>
    <w:tmpl w:val="4BBCD7F0"/>
    <w:lvl w:ilvl="0">
      <w:start w:val="185"/>
      <w:numFmt w:val="decimal"/>
      <w:lvlText w:val="%1"/>
      <w:lvlJc w:val="left"/>
      <w:pPr>
        <w:ind w:left="615" w:hanging="615"/>
      </w:pPr>
      <w:rPr>
        <w:rFonts w:ascii="Cambria Math" w:hAnsi="Cambria Math" w:hint="default"/>
        <w:i/>
      </w:rPr>
    </w:lvl>
    <w:lvl w:ilvl="1">
      <w:start w:val="3"/>
      <w:numFmt w:val="decimal"/>
      <w:lvlText w:val="%1.%2"/>
      <w:lvlJc w:val="left"/>
      <w:pPr>
        <w:ind w:left="615" w:hanging="615"/>
      </w:pPr>
      <w:rPr>
        <w:rFonts w:ascii="Cambria Math" w:hAnsi="Cambria Math" w:hint="default"/>
        <w:i/>
      </w:rPr>
    </w:lvl>
    <w:lvl w:ilvl="2">
      <w:start w:val="1"/>
      <w:numFmt w:val="decimal"/>
      <w:lvlText w:val="%1.%2.%3"/>
      <w:lvlJc w:val="left"/>
      <w:pPr>
        <w:ind w:left="720" w:hanging="720"/>
      </w:pPr>
      <w:rPr>
        <w:rFonts w:ascii="Cambria Math" w:hAnsi="Cambria Math" w:hint="default"/>
        <w:i/>
      </w:rPr>
    </w:lvl>
    <w:lvl w:ilvl="3">
      <w:start w:val="1"/>
      <w:numFmt w:val="decimal"/>
      <w:lvlText w:val="%1.%2.%3.%4"/>
      <w:lvlJc w:val="left"/>
      <w:pPr>
        <w:ind w:left="720" w:hanging="720"/>
      </w:pPr>
      <w:rPr>
        <w:rFonts w:ascii="Cambria Math" w:hAnsi="Cambria Math" w:hint="default"/>
        <w:i/>
      </w:rPr>
    </w:lvl>
    <w:lvl w:ilvl="4">
      <w:start w:val="1"/>
      <w:numFmt w:val="decimal"/>
      <w:lvlText w:val="%1.%2.%3.%4.%5"/>
      <w:lvlJc w:val="left"/>
      <w:pPr>
        <w:ind w:left="1080" w:hanging="1080"/>
      </w:pPr>
      <w:rPr>
        <w:rFonts w:ascii="Cambria Math" w:hAnsi="Cambria Math" w:hint="default"/>
        <w:i/>
      </w:rPr>
    </w:lvl>
    <w:lvl w:ilvl="5">
      <w:start w:val="1"/>
      <w:numFmt w:val="decimal"/>
      <w:lvlText w:val="%1.%2.%3.%4.%5.%6"/>
      <w:lvlJc w:val="left"/>
      <w:pPr>
        <w:ind w:left="1440" w:hanging="1440"/>
      </w:pPr>
      <w:rPr>
        <w:rFonts w:ascii="Cambria Math" w:hAnsi="Cambria Math" w:hint="default"/>
        <w:i/>
      </w:rPr>
    </w:lvl>
    <w:lvl w:ilvl="6">
      <w:start w:val="1"/>
      <w:numFmt w:val="decimal"/>
      <w:lvlText w:val="%1.%2.%3.%4.%5.%6.%7"/>
      <w:lvlJc w:val="left"/>
      <w:pPr>
        <w:ind w:left="1440" w:hanging="1440"/>
      </w:pPr>
      <w:rPr>
        <w:rFonts w:ascii="Cambria Math" w:hAnsi="Cambria Math" w:hint="default"/>
        <w:i/>
      </w:rPr>
    </w:lvl>
    <w:lvl w:ilvl="7">
      <w:start w:val="1"/>
      <w:numFmt w:val="decimal"/>
      <w:lvlText w:val="%1.%2.%3.%4.%5.%6.%7.%8"/>
      <w:lvlJc w:val="left"/>
      <w:pPr>
        <w:ind w:left="1800" w:hanging="1800"/>
      </w:pPr>
      <w:rPr>
        <w:rFonts w:ascii="Cambria Math" w:hAnsi="Cambria Math" w:hint="default"/>
        <w:i/>
      </w:rPr>
    </w:lvl>
    <w:lvl w:ilvl="8">
      <w:start w:val="1"/>
      <w:numFmt w:val="decimal"/>
      <w:lvlText w:val="%1.%2.%3.%4.%5.%6.%7.%8.%9"/>
      <w:lvlJc w:val="left"/>
      <w:pPr>
        <w:ind w:left="1800" w:hanging="1800"/>
      </w:pPr>
      <w:rPr>
        <w:rFonts w:ascii="Cambria Math" w:hAnsi="Cambria Math" w:hint="default"/>
        <w:i/>
      </w:rPr>
    </w:lvl>
  </w:abstractNum>
  <w:abstractNum w:abstractNumId="5">
    <w:nsid w:val="1D627C8C"/>
    <w:multiLevelType w:val="hybridMultilevel"/>
    <w:tmpl w:val="9466B4B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
    <w:nsid w:val="1F901EC0"/>
    <w:multiLevelType w:val="hybridMultilevel"/>
    <w:tmpl w:val="E8CA161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
    <w:nsid w:val="20405CFE"/>
    <w:multiLevelType w:val="hybridMultilevel"/>
    <w:tmpl w:val="2506B3E2"/>
    <w:lvl w:ilvl="0" w:tplc="04090001">
      <w:start w:val="1"/>
      <w:numFmt w:val="bullet"/>
      <w:lvlText w:val=""/>
      <w:lvlJc w:val="left"/>
      <w:pPr>
        <w:ind w:left="720" w:hanging="360"/>
      </w:pPr>
      <w:rPr>
        <w:rFonts w:ascii="Symbol" w:hAnsi="Symbol" w:hint="default"/>
      </w:rPr>
    </w:lvl>
    <w:lvl w:ilvl="1" w:tplc="04090001">
      <w:start w:val="1"/>
      <w:numFmt w:val="bullet"/>
      <w:lvlText w:val=""/>
      <w:lvlJc w:val="left"/>
      <w:pPr>
        <w:ind w:left="1440" w:hanging="360"/>
      </w:pPr>
      <w:rPr>
        <w:rFonts w:ascii="Symbol" w:hAnsi="Symbo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32191DFA"/>
    <w:multiLevelType w:val="hybridMultilevel"/>
    <w:tmpl w:val="74962264"/>
    <w:lvl w:ilvl="0" w:tplc="64104B76">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
    <w:nsid w:val="350421EC"/>
    <w:multiLevelType w:val="hybridMultilevel"/>
    <w:tmpl w:val="3E64DB7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
    <w:nsid w:val="3E6E4C53"/>
    <w:multiLevelType w:val="singleLevel"/>
    <w:tmpl w:val="04090001"/>
    <w:lvl w:ilvl="0">
      <w:start w:val="1"/>
      <w:numFmt w:val="bullet"/>
      <w:lvlText w:val=""/>
      <w:lvlJc w:val="left"/>
      <w:pPr>
        <w:tabs>
          <w:tab w:val="num" w:pos="360"/>
        </w:tabs>
        <w:ind w:left="360" w:hanging="360"/>
      </w:pPr>
      <w:rPr>
        <w:rFonts w:ascii="Symbol" w:hAnsi="Symbol" w:hint="default"/>
      </w:rPr>
    </w:lvl>
  </w:abstractNum>
  <w:abstractNum w:abstractNumId="11">
    <w:nsid w:val="411C16EC"/>
    <w:multiLevelType w:val="hybridMultilevel"/>
    <w:tmpl w:val="4798F076"/>
    <w:lvl w:ilvl="0" w:tplc="766A4D70">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nsid w:val="45005593"/>
    <w:multiLevelType w:val="hybridMultilevel"/>
    <w:tmpl w:val="619AD32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47FE2E1C"/>
    <w:multiLevelType w:val="hybridMultilevel"/>
    <w:tmpl w:val="3C12E21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4">
    <w:nsid w:val="4B6F210D"/>
    <w:multiLevelType w:val="hybridMultilevel"/>
    <w:tmpl w:val="73E2146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514B6D81"/>
    <w:multiLevelType w:val="hybridMultilevel"/>
    <w:tmpl w:val="EC74A71A"/>
    <w:lvl w:ilvl="0" w:tplc="2C6474AE">
      <w:start w:val="1"/>
      <w:numFmt w:val="lowerLetter"/>
      <w:lvlText w:val="%1."/>
      <w:lvlJc w:val="left"/>
      <w:pPr>
        <w:ind w:left="720" w:hanging="360"/>
      </w:pPr>
      <w:rPr>
        <w:rFonts w:hint="default"/>
        <w:sz w:val="18"/>
        <w:szCs w:val="18"/>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nsid w:val="62576C92"/>
    <w:multiLevelType w:val="hybridMultilevel"/>
    <w:tmpl w:val="B23E8CA4"/>
    <w:lvl w:ilvl="0" w:tplc="6EA8AAF6">
      <w:start w:val="1"/>
      <w:numFmt w:val="decimal"/>
      <w:lvlText w:val="%1."/>
      <w:lvlJc w:val="left"/>
      <w:pPr>
        <w:tabs>
          <w:tab w:val="num" w:pos="360"/>
        </w:tabs>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nsid w:val="6A727351"/>
    <w:multiLevelType w:val="hybridMultilevel"/>
    <w:tmpl w:val="82C43E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nsid w:val="6F4C7BF3"/>
    <w:multiLevelType w:val="hybridMultilevel"/>
    <w:tmpl w:val="E424F93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
    <w:nsid w:val="72613D5E"/>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0">
    <w:nsid w:val="790B5C8F"/>
    <w:multiLevelType w:val="hybridMultilevel"/>
    <w:tmpl w:val="539019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nsid w:val="7B6D6983"/>
    <w:multiLevelType w:val="hybridMultilevel"/>
    <w:tmpl w:val="34CA9646"/>
    <w:lvl w:ilvl="0" w:tplc="64104B76">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nsid w:val="7DC1319C"/>
    <w:multiLevelType w:val="hybridMultilevel"/>
    <w:tmpl w:val="06A41748"/>
    <w:lvl w:ilvl="0" w:tplc="801C2268">
      <w:start w:val="1"/>
      <w:numFmt w:val="decimal"/>
      <w:lvlText w:val="%1."/>
      <w:lvlJc w:val="left"/>
      <w:pPr>
        <w:tabs>
          <w:tab w:val="num" w:pos="1080"/>
        </w:tabs>
        <w:ind w:left="1080" w:hanging="360"/>
      </w:pPr>
      <w:rPr>
        <w:sz w:val="16"/>
        <w:szCs w:val="16"/>
      </w:r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num w:numId="1">
    <w:abstractNumId w:val="10"/>
  </w:num>
  <w:num w:numId="2">
    <w:abstractNumId w:val="21"/>
  </w:num>
  <w:num w:numId="3">
    <w:abstractNumId w:val="0"/>
  </w:num>
  <w:num w:numId="4">
    <w:abstractNumId w:val="8"/>
  </w:num>
  <w:num w:numId="5">
    <w:abstractNumId w:val="11"/>
  </w:num>
  <w:num w:numId="6">
    <w:abstractNumId w:val="12"/>
  </w:num>
  <w:num w:numId="7">
    <w:abstractNumId w:val="18"/>
  </w:num>
  <w:num w:numId="8">
    <w:abstractNumId w:val="2"/>
  </w:num>
  <w:num w:numId="9">
    <w:abstractNumId w:val="13"/>
  </w:num>
  <w:num w:numId="10">
    <w:abstractNumId w:val="1"/>
  </w:num>
  <w:num w:numId="11">
    <w:abstractNumId w:val="5"/>
  </w:num>
  <w:num w:numId="12">
    <w:abstractNumId w:val="6"/>
  </w:num>
  <w:num w:numId="13">
    <w:abstractNumId w:val="9"/>
  </w:num>
  <w:num w:numId="14">
    <w:abstractNumId w:val="19"/>
  </w:num>
  <w:num w:numId="15">
    <w:abstractNumId w:val="3"/>
  </w:num>
  <w:num w:numId="16">
    <w:abstractNumId w:val="17"/>
  </w:num>
  <w:num w:numId="17">
    <w:abstractNumId w:val="7"/>
  </w:num>
  <w:num w:numId="18">
    <w:abstractNumId w:val="20"/>
  </w:num>
  <w:num w:numId="19">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22"/>
  </w:num>
  <w:num w:numId="21">
    <w:abstractNumId w:val="14"/>
  </w:num>
  <w:num w:numId="22">
    <w:abstractNumId w:val="16"/>
  </w:num>
  <w:num w:numId="23">
    <w:abstractNumId w:val="15"/>
  </w:num>
  <w:num w:numId="24">
    <w:abstractNumId w:val="4"/>
  </w:num>
  <w:numIdMacAtCleanup w:val="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embedSystem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360"/>
  <w:displayHorizontalDrawingGridEvery w:val="0"/>
  <w:displayVerticalDrawingGridEvery w:val="0"/>
  <w:doNotUseMarginsForDrawingGridOrigin/>
  <w:noPunctuationKerning/>
  <w:characterSpacingControl w:val="doNotCompress"/>
  <w:hdrShapeDefaults>
    <o:shapedefaults v:ext="edit" spidmax="1740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93F10"/>
    <w:rsid w:val="00001F9F"/>
    <w:rsid w:val="000114BB"/>
    <w:rsid w:val="0001501B"/>
    <w:rsid w:val="00016CD4"/>
    <w:rsid w:val="00023298"/>
    <w:rsid w:val="00025A46"/>
    <w:rsid w:val="00026E89"/>
    <w:rsid w:val="00041EA0"/>
    <w:rsid w:val="00045BE5"/>
    <w:rsid w:val="00046CB7"/>
    <w:rsid w:val="000474D8"/>
    <w:rsid w:val="0005445E"/>
    <w:rsid w:val="00070D45"/>
    <w:rsid w:val="00086586"/>
    <w:rsid w:val="000873CD"/>
    <w:rsid w:val="000B1F0F"/>
    <w:rsid w:val="000B3948"/>
    <w:rsid w:val="000B4B28"/>
    <w:rsid w:val="000B6097"/>
    <w:rsid w:val="000C2D88"/>
    <w:rsid w:val="000C3FD6"/>
    <w:rsid w:val="000C5143"/>
    <w:rsid w:val="000D073E"/>
    <w:rsid w:val="000E2D96"/>
    <w:rsid w:val="000E42D3"/>
    <w:rsid w:val="00100141"/>
    <w:rsid w:val="00105DD2"/>
    <w:rsid w:val="001073DE"/>
    <w:rsid w:val="00110AFD"/>
    <w:rsid w:val="00111453"/>
    <w:rsid w:val="0011612D"/>
    <w:rsid w:val="0011759F"/>
    <w:rsid w:val="00120FD2"/>
    <w:rsid w:val="001238AA"/>
    <w:rsid w:val="00137C0D"/>
    <w:rsid w:val="00140CD4"/>
    <w:rsid w:val="001424DC"/>
    <w:rsid w:val="00145413"/>
    <w:rsid w:val="0014677B"/>
    <w:rsid w:val="00153585"/>
    <w:rsid w:val="00155093"/>
    <w:rsid w:val="00172B29"/>
    <w:rsid w:val="001771DC"/>
    <w:rsid w:val="00187B1B"/>
    <w:rsid w:val="00193F10"/>
    <w:rsid w:val="001947B8"/>
    <w:rsid w:val="001948FC"/>
    <w:rsid w:val="00194AA6"/>
    <w:rsid w:val="001972B4"/>
    <w:rsid w:val="001B1109"/>
    <w:rsid w:val="001C1E01"/>
    <w:rsid w:val="001C4E37"/>
    <w:rsid w:val="001C6785"/>
    <w:rsid w:val="001D247F"/>
    <w:rsid w:val="001D487F"/>
    <w:rsid w:val="001E04A0"/>
    <w:rsid w:val="001E2CD6"/>
    <w:rsid w:val="001F3E6D"/>
    <w:rsid w:val="00211638"/>
    <w:rsid w:val="0021365F"/>
    <w:rsid w:val="00217D0A"/>
    <w:rsid w:val="002225DD"/>
    <w:rsid w:val="002274FF"/>
    <w:rsid w:val="00236D77"/>
    <w:rsid w:val="00253798"/>
    <w:rsid w:val="002556BC"/>
    <w:rsid w:val="00264033"/>
    <w:rsid w:val="00273333"/>
    <w:rsid w:val="00277A40"/>
    <w:rsid w:val="0028466A"/>
    <w:rsid w:val="00296672"/>
    <w:rsid w:val="002A28C2"/>
    <w:rsid w:val="002A2C81"/>
    <w:rsid w:val="002A3310"/>
    <w:rsid w:val="002B30D0"/>
    <w:rsid w:val="002C34C6"/>
    <w:rsid w:val="002C4D2C"/>
    <w:rsid w:val="002D3652"/>
    <w:rsid w:val="002D4AE5"/>
    <w:rsid w:val="002D7389"/>
    <w:rsid w:val="002E131E"/>
    <w:rsid w:val="002E535C"/>
    <w:rsid w:val="002E7EFC"/>
    <w:rsid w:val="002F0E6E"/>
    <w:rsid w:val="00307702"/>
    <w:rsid w:val="003117E8"/>
    <w:rsid w:val="003210EC"/>
    <w:rsid w:val="00324EAE"/>
    <w:rsid w:val="0033363A"/>
    <w:rsid w:val="0033436F"/>
    <w:rsid w:val="003401E8"/>
    <w:rsid w:val="00341AF2"/>
    <w:rsid w:val="00343B98"/>
    <w:rsid w:val="00346552"/>
    <w:rsid w:val="00346DF7"/>
    <w:rsid w:val="003513EC"/>
    <w:rsid w:val="00351400"/>
    <w:rsid w:val="00352F3B"/>
    <w:rsid w:val="003604C2"/>
    <w:rsid w:val="00362B27"/>
    <w:rsid w:val="0037062A"/>
    <w:rsid w:val="00376C39"/>
    <w:rsid w:val="003858DE"/>
    <w:rsid w:val="00390C3D"/>
    <w:rsid w:val="0039482F"/>
    <w:rsid w:val="003A2A49"/>
    <w:rsid w:val="003A3C29"/>
    <w:rsid w:val="003A7A45"/>
    <w:rsid w:val="003D5FC3"/>
    <w:rsid w:val="003E1A77"/>
    <w:rsid w:val="003E2641"/>
    <w:rsid w:val="003E683A"/>
    <w:rsid w:val="003E709B"/>
    <w:rsid w:val="003E79E3"/>
    <w:rsid w:val="003F0461"/>
    <w:rsid w:val="003F1121"/>
    <w:rsid w:val="003F1AFB"/>
    <w:rsid w:val="003F684C"/>
    <w:rsid w:val="00402C59"/>
    <w:rsid w:val="00441376"/>
    <w:rsid w:val="004414F2"/>
    <w:rsid w:val="00446FE7"/>
    <w:rsid w:val="004568A5"/>
    <w:rsid w:val="00457D70"/>
    <w:rsid w:val="004635C7"/>
    <w:rsid w:val="004637AE"/>
    <w:rsid w:val="004646A2"/>
    <w:rsid w:val="0047167B"/>
    <w:rsid w:val="00490B80"/>
    <w:rsid w:val="00493D8C"/>
    <w:rsid w:val="00497F33"/>
    <w:rsid w:val="004A3733"/>
    <w:rsid w:val="004A6D69"/>
    <w:rsid w:val="004A776A"/>
    <w:rsid w:val="004A7D29"/>
    <w:rsid w:val="004B16BD"/>
    <w:rsid w:val="004B5185"/>
    <w:rsid w:val="004B588B"/>
    <w:rsid w:val="004C0984"/>
    <w:rsid w:val="004C228C"/>
    <w:rsid w:val="004D1D9F"/>
    <w:rsid w:val="004D5574"/>
    <w:rsid w:val="004E07F6"/>
    <w:rsid w:val="004E2CB6"/>
    <w:rsid w:val="004E48C8"/>
    <w:rsid w:val="004E72F5"/>
    <w:rsid w:val="005003C1"/>
    <w:rsid w:val="00500DBF"/>
    <w:rsid w:val="005069A7"/>
    <w:rsid w:val="00506D4E"/>
    <w:rsid w:val="00507EE2"/>
    <w:rsid w:val="00522F01"/>
    <w:rsid w:val="00535AAF"/>
    <w:rsid w:val="005470C1"/>
    <w:rsid w:val="00547D92"/>
    <w:rsid w:val="00551707"/>
    <w:rsid w:val="0056319C"/>
    <w:rsid w:val="005637CA"/>
    <w:rsid w:val="00563CDD"/>
    <w:rsid w:val="00581A4B"/>
    <w:rsid w:val="00587DB6"/>
    <w:rsid w:val="005957A1"/>
    <w:rsid w:val="005A05DD"/>
    <w:rsid w:val="005B6FFB"/>
    <w:rsid w:val="005C2C0F"/>
    <w:rsid w:val="005D12F4"/>
    <w:rsid w:val="005D6352"/>
    <w:rsid w:val="005E466B"/>
    <w:rsid w:val="005E759B"/>
    <w:rsid w:val="005E777E"/>
    <w:rsid w:val="005F19F5"/>
    <w:rsid w:val="00601EE7"/>
    <w:rsid w:val="00613366"/>
    <w:rsid w:val="00613E96"/>
    <w:rsid w:val="006230F9"/>
    <w:rsid w:val="00630848"/>
    <w:rsid w:val="006310CB"/>
    <w:rsid w:val="0063142D"/>
    <w:rsid w:val="00632387"/>
    <w:rsid w:val="00636630"/>
    <w:rsid w:val="00642931"/>
    <w:rsid w:val="006441E3"/>
    <w:rsid w:val="006475AA"/>
    <w:rsid w:val="0065214A"/>
    <w:rsid w:val="00660908"/>
    <w:rsid w:val="006658B6"/>
    <w:rsid w:val="00670B6D"/>
    <w:rsid w:val="006756C2"/>
    <w:rsid w:val="00681D4F"/>
    <w:rsid w:val="006837D2"/>
    <w:rsid w:val="00684184"/>
    <w:rsid w:val="00686486"/>
    <w:rsid w:val="00692A04"/>
    <w:rsid w:val="006A1B2B"/>
    <w:rsid w:val="006A6B93"/>
    <w:rsid w:val="006B1C1A"/>
    <w:rsid w:val="006B3E0F"/>
    <w:rsid w:val="006B60DA"/>
    <w:rsid w:val="006B6EFE"/>
    <w:rsid w:val="006C5B3D"/>
    <w:rsid w:val="006E1689"/>
    <w:rsid w:val="006E2031"/>
    <w:rsid w:val="006F0E96"/>
    <w:rsid w:val="006F1933"/>
    <w:rsid w:val="00701FEF"/>
    <w:rsid w:val="007168D9"/>
    <w:rsid w:val="00727320"/>
    <w:rsid w:val="00727FD7"/>
    <w:rsid w:val="00730DE8"/>
    <w:rsid w:val="00731F2B"/>
    <w:rsid w:val="0073564C"/>
    <w:rsid w:val="00741F1A"/>
    <w:rsid w:val="00747DCC"/>
    <w:rsid w:val="00753841"/>
    <w:rsid w:val="00762238"/>
    <w:rsid w:val="00762E18"/>
    <w:rsid w:val="00766131"/>
    <w:rsid w:val="007747AA"/>
    <w:rsid w:val="00775056"/>
    <w:rsid w:val="00782ABD"/>
    <w:rsid w:val="00783A4C"/>
    <w:rsid w:val="00792659"/>
    <w:rsid w:val="0079301A"/>
    <w:rsid w:val="00795DF3"/>
    <w:rsid w:val="007A5ED9"/>
    <w:rsid w:val="007A7739"/>
    <w:rsid w:val="007B635A"/>
    <w:rsid w:val="007B7BE1"/>
    <w:rsid w:val="007C5C58"/>
    <w:rsid w:val="007D1128"/>
    <w:rsid w:val="007D1C6C"/>
    <w:rsid w:val="007D6959"/>
    <w:rsid w:val="007E0AB7"/>
    <w:rsid w:val="007E4B05"/>
    <w:rsid w:val="007E5113"/>
    <w:rsid w:val="007E5CA3"/>
    <w:rsid w:val="007E62A5"/>
    <w:rsid w:val="007E6453"/>
    <w:rsid w:val="007E66CA"/>
    <w:rsid w:val="007F6778"/>
    <w:rsid w:val="007F7B7E"/>
    <w:rsid w:val="00801322"/>
    <w:rsid w:val="00802D7E"/>
    <w:rsid w:val="0081500D"/>
    <w:rsid w:val="00824781"/>
    <w:rsid w:val="00835018"/>
    <w:rsid w:val="00841072"/>
    <w:rsid w:val="008428FF"/>
    <w:rsid w:val="008523D2"/>
    <w:rsid w:val="008603FF"/>
    <w:rsid w:val="00860BD3"/>
    <w:rsid w:val="008673D3"/>
    <w:rsid w:val="0087711E"/>
    <w:rsid w:val="00885A57"/>
    <w:rsid w:val="0088700B"/>
    <w:rsid w:val="008966C8"/>
    <w:rsid w:val="008A01CA"/>
    <w:rsid w:val="008A1297"/>
    <w:rsid w:val="008A57F6"/>
    <w:rsid w:val="008B0502"/>
    <w:rsid w:val="008C023E"/>
    <w:rsid w:val="008D1C98"/>
    <w:rsid w:val="008D2F55"/>
    <w:rsid w:val="008D46BF"/>
    <w:rsid w:val="008F1519"/>
    <w:rsid w:val="008F20E2"/>
    <w:rsid w:val="00907A45"/>
    <w:rsid w:val="009177E1"/>
    <w:rsid w:val="009279D2"/>
    <w:rsid w:val="0093238E"/>
    <w:rsid w:val="009418BB"/>
    <w:rsid w:val="00971843"/>
    <w:rsid w:val="0098339D"/>
    <w:rsid w:val="00990269"/>
    <w:rsid w:val="009B1985"/>
    <w:rsid w:val="009B32D2"/>
    <w:rsid w:val="009C31A7"/>
    <w:rsid w:val="009C3C3E"/>
    <w:rsid w:val="009C6A8C"/>
    <w:rsid w:val="009C6EE7"/>
    <w:rsid w:val="009D5132"/>
    <w:rsid w:val="009E1C44"/>
    <w:rsid w:val="009F4401"/>
    <w:rsid w:val="00A129A0"/>
    <w:rsid w:val="00A407A9"/>
    <w:rsid w:val="00A41ACE"/>
    <w:rsid w:val="00A438E1"/>
    <w:rsid w:val="00A54CBE"/>
    <w:rsid w:val="00A608E7"/>
    <w:rsid w:val="00A74DB0"/>
    <w:rsid w:val="00A90CB7"/>
    <w:rsid w:val="00A938D5"/>
    <w:rsid w:val="00A97A62"/>
    <w:rsid w:val="00AA49BE"/>
    <w:rsid w:val="00AA5A30"/>
    <w:rsid w:val="00AA75C6"/>
    <w:rsid w:val="00AB0AAE"/>
    <w:rsid w:val="00AB5AF3"/>
    <w:rsid w:val="00AC1230"/>
    <w:rsid w:val="00AD1F3F"/>
    <w:rsid w:val="00AD4DCE"/>
    <w:rsid w:val="00AD606D"/>
    <w:rsid w:val="00AD649C"/>
    <w:rsid w:val="00AE4795"/>
    <w:rsid w:val="00AE69BC"/>
    <w:rsid w:val="00AF69AA"/>
    <w:rsid w:val="00AF6B35"/>
    <w:rsid w:val="00B103DE"/>
    <w:rsid w:val="00B16C45"/>
    <w:rsid w:val="00B22A51"/>
    <w:rsid w:val="00B33398"/>
    <w:rsid w:val="00B37DD4"/>
    <w:rsid w:val="00B559ED"/>
    <w:rsid w:val="00B63755"/>
    <w:rsid w:val="00B6553D"/>
    <w:rsid w:val="00B66F12"/>
    <w:rsid w:val="00B7135D"/>
    <w:rsid w:val="00B73AE4"/>
    <w:rsid w:val="00B7612C"/>
    <w:rsid w:val="00B9331E"/>
    <w:rsid w:val="00BA7C4A"/>
    <w:rsid w:val="00BB1087"/>
    <w:rsid w:val="00BC5729"/>
    <w:rsid w:val="00BC6B5B"/>
    <w:rsid w:val="00BD3763"/>
    <w:rsid w:val="00BD6226"/>
    <w:rsid w:val="00BF07BC"/>
    <w:rsid w:val="00BF13DF"/>
    <w:rsid w:val="00BF5BF8"/>
    <w:rsid w:val="00C04196"/>
    <w:rsid w:val="00C06C6D"/>
    <w:rsid w:val="00C24E3A"/>
    <w:rsid w:val="00C26E89"/>
    <w:rsid w:val="00C343F0"/>
    <w:rsid w:val="00C3548F"/>
    <w:rsid w:val="00C403F4"/>
    <w:rsid w:val="00C44A56"/>
    <w:rsid w:val="00C502D1"/>
    <w:rsid w:val="00C52CBD"/>
    <w:rsid w:val="00C61389"/>
    <w:rsid w:val="00C6176B"/>
    <w:rsid w:val="00C66E7D"/>
    <w:rsid w:val="00C67754"/>
    <w:rsid w:val="00C70408"/>
    <w:rsid w:val="00C72C7A"/>
    <w:rsid w:val="00C73783"/>
    <w:rsid w:val="00C74F31"/>
    <w:rsid w:val="00C7510F"/>
    <w:rsid w:val="00C7728C"/>
    <w:rsid w:val="00C80219"/>
    <w:rsid w:val="00C847B8"/>
    <w:rsid w:val="00C85648"/>
    <w:rsid w:val="00C92C3C"/>
    <w:rsid w:val="00CA3901"/>
    <w:rsid w:val="00CB16C5"/>
    <w:rsid w:val="00CB4EF8"/>
    <w:rsid w:val="00CC0FEA"/>
    <w:rsid w:val="00CE5A5E"/>
    <w:rsid w:val="00CF11B0"/>
    <w:rsid w:val="00CF158C"/>
    <w:rsid w:val="00CF7988"/>
    <w:rsid w:val="00CF7F87"/>
    <w:rsid w:val="00D00F5F"/>
    <w:rsid w:val="00D07B72"/>
    <w:rsid w:val="00D13E24"/>
    <w:rsid w:val="00D262B1"/>
    <w:rsid w:val="00D3115B"/>
    <w:rsid w:val="00D46341"/>
    <w:rsid w:val="00D46804"/>
    <w:rsid w:val="00D50D31"/>
    <w:rsid w:val="00D51D78"/>
    <w:rsid w:val="00D571F9"/>
    <w:rsid w:val="00D71D6E"/>
    <w:rsid w:val="00D727AB"/>
    <w:rsid w:val="00D736C7"/>
    <w:rsid w:val="00D76A99"/>
    <w:rsid w:val="00D775DE"/>
    <w:rsid w:val="00D80F7C"/>
    <w:rsid w:val="00D821DA"/>
    <w:rsid w:val="00D916A7"/>
    <w:rsid w:val="00D973CC"/>
    <w:rsid w:val="00DA06EF"/>
    <w:rsid w:val="00DA29AD"/>
    <w:rsid w:val="00DA4D8D"/>
    <w:rsid w:val="00DB1339"/>
    <w:rsid w:val="00DB4E11"/>
    <w:rsid w:val="00DB5275"/>
    <w:rsid w:val="00DC613C"/>
    <w:rsid w:val="00DD2851"/>
    <w:rsid w:val="00DF260C"/>
    <w:rsid w:val="00E17E38"/>
    <w:rsid w:val="00E309F3"/>
    <w:rsid w:val="00E30B59"/>
    <w:rsid w:val="00E37F22"/>
    <w:rsid w:val="00E42819"/>
    <w:rsid w:val="00E43EDD"/>
    <w:rsid w:val="00E50051"/>
    <w:rsid w:val="00E52A73"/>
    <w:rsid w:val="00E607EE"/>
    <w:rsid w:val="00E64436"/>
    <w:rsid w:val="00E714EB"/>
    <w:rsid w:val="00E76104"/>
    <w:rsid w:val="00E77932"/>
    <w:rsid w:val="00E81003"/>
    <w:rsid w:val="00E8450D"/>
    <w:rsid w:val="00E84B3B"/>
    <w:rsid w:val="00EA33A8"/>
    <w:rsid w:val="00EA49ED"/>
    <w:rsid w:val="00EA5428"/>
    <w:rsid w:val="00EC344E"/>
    <w:rsid w:val="00ED1B52"/>
    <w:rsid w:val="00EE6112"/>
    <w:rsid w:val="00EF22D8"/>
    <w:rsid w:val="00EF4BF6"/>
    <w:rsid w:val="00F00860"/>
    <w:rsid w:val="00F0323C"/>
    <w:rsid w:val="00F115F1"/>
    <w:rsid w:val="00F15238"/>
    <w:rsid w:val="00F23F9D"/>
    <w:rsid w:val="00F26D0F"/>
    <w:rsid w:val="00F350ED"/>
    <w:rsid w:val="00F35886"/>
    <w:rsid w:val="00F35B0A"/>
    <w:rsid w:val="00F40607"/>
    <w:rsid w:val="00F4574C"/>
    <w:rsid w:val="00F51149"/>
    <w:rsid w:val="00F6186C"/>
    <w:rsid w:val="00F67C9B"/>
    <w:rsid w:val="00F71458"/>
    <w:rsid w:val="00F753A4"/>
    <w:rsid w:val="00F77D22"/>
    <w:rsid w:val="00F85DF8"/>
    <w:rsid w:val="00F91049"/>
    <w:rsid w:val="00F94B3C"/>
    <w:rsid w:val="00FA36F8"/>
    <w:rsid w:val="00FA5126"/>
    <w:rsid w:val="00FB456C"/>
    <w:rsid w:val="00FB7384"/>
    <w:rsid w:val="00FD588D"/>
    <w:rsid w:val="00FE68D8"/>
    <w:rsid w:val="00FF397A"/>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lace"/>
  <w:smartTagType w:namespaceuri="urn:schemas-microsoft-com:office:smarttags" w:name="PostalCode"/>
  <w:smartTagType w:namespaceuri="urn:schemas-microsoft-com:office:smarttags" w:name="State"/>
  <w:smartTagType w:namespaceuri="urn:schemas-microsoft-com:office:smarttags" w:name="City"/>
  <w:shapeDefaults>
    <o:shapedefaults v:ext="edit" spidmax="17409"/>
    <o:shapelayout v:ext="edit">
      <o:idmap v:ext="edit" data="1"/>
    </o:shapelayout>
  </w:shapeDefaults>
  <w:decimalSymbol w:val="."/>
  <w:listSeparator w:val=","/>
  <w15:chartTrackingRefBased/>
  <w15:docId w15:val="{D1BA273A-7A9E-4ADF-A9DA-5CE5F8AF043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uiPriority="99" w:qFormat="1"/>
    <w:lsdException w:name="heading 9" w:qFormat="1"/>
    <w:lsdException w:name="caption" w:semiHidden="1" w:unhideWhenUsed="1" w:qFormat="1"/>
    <w:lsdException w:name="Title" w:qFormat="1"/>
    <w:lsdException w:name="Subtitle" w:qFormat="1"/>
    <w:lsdException w:name="Body Text 2" w:uiPriority="99"/>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Heading1">
    <w:name w:val="heading 1"/>
    <w:basedOn w:val="Normal"/>
    <w:next w:val="Normal"/>
    <w:qFormat/>
    <w:pPr>
      <w:keepNext/>
      <w:spacing w:after="120"/>
      <w:ind w:left="634"/>
      <w:outlineLvl w:val="0"/>
    </w:pPr>
    <w:rPr>
      <w:sz w:val="28"/>
    </w:rPr>
  </w:style>
  <w:style w:type="paragraph" w:styleId="Heading2">
    <w:name w:val="heading 2"/>
    <w:basedOn w:val="Normal"/>
    <w:next w:val="Normal"/>
    <w:qFormat/>
    <w:pPr>
      <w:keepNext/>
      <w:ind w:left="630"/>
      <w:outlineLvl w:val="1"/>
    </w:pPr>
    <w:rPr>
      <w:i/>
      <w:sz w:val="23"/>
    </w:rPr>
  </w:style>
  <w:style w:type="paragraph" w:styleId="Heading3">
    <w:name w:val="heading 3"/>
    <w:basedOn w:val="Normal"/>
    <w:next w:val="Normal"/>
    <w:qFormat/>
    <w:pPr>
      <w:keepNext/>
      <w:jc w:val="center"/>
      <w:outlineLvl w:val="2"/>
    </w:pPr>
    <w:rPr>
      <w:sz w:val="28"/>
    </w:rPr>
  </w:style>
  <w:style w:type="paragraph" w:styleId="Heading4">
    <w:name w:val="heading 4"/>
    <w:basedOn w:val="Normal"/>
    <w:next w:val="Normal"/>
    <w:qFormat/>
    <w:pPr>
      <w:keepNext/>
      <w:jc w:val="center"/>
      <w:outlineLvl w:val="3"/>
    </w:pPr>
    <w:rPr>
      <w:b/>
      <w:sz w:val="22"/>
    </w:rPr>
  </w:style>
  <w:style w:type="paragraph" w:styleId="Heading5">
    <w:name w:val="heading 5"/>
    <w:basedOn w:val="Normal"/>
    <w:next w:val="Normal"/>
    <w:qFormat/>
    <w:pPr>
      <w:keepNext/>
      <w:spacing w:after="120"/>
      <w:ind w:left="720"/>
      <w:outlineLvl w:val="4"/>
    </w:pPr>
    <w:rPr>
      <w:b/>
      <w:sz w:val="22"/>
    </w:rPr>
  </w:style>
  <w:style w:type="paragraph" w:styleId="Heading6">
    <w:name w:val="heading 6"/>
    <w:basedOn w:val="Normal"/>
    <w:next w:val="Normal"/>
    <w:qFormat/>
    <w:pPr>
      <w:keepNext/>
      <w:jc w:val="center"/>
      <w:outlineLvl w:val="5"/>
    </w:pPr>
    <w:rPr>
      <w:b/>
      <w:sz w:val="24"/>
    </w:rPr>
  </w:style>
  <w:style w:type="paragraph" w:styleId="Heading7">
    <w:name w:val="heading 7"/>
    <w:basedOn w:val="Normal"/>
    <w:next w:val="Normal"/>
    <w:qFormat/>
    <w:pPr>
      <w:keepNext/>
      <w:tabs>
        <w:tab w:val="right" w:pos="9648"/>
      </w:tabs>
      <w:spacing w:after="120" w:line="240" w:lineRule="exact"/>
      <w:ind w:left="630"/>
      <w:outlineLvl w:val="6"/>
    </w:pPr>
    <w:rPr>
      <w:b/>
      <w:sz w:val="22"/>
    </w:rPr>
  </w:style>
  <w:style w:type="paragraph" w:styleId="Heading8">
    <w:name w:val="heading 8"/>
    <w:basedOn w:val="Normal"/>
    <w:next w:val="Normal"/>
    <w:link w:val="Heading8Char"/>
    <w:uiPriority w:val="99"/>
    <w:qFormat/>
    <w:pPr>
      <w:keepNext/>
      <w:spacing w:after="120"/>
      <w:outlineLvl w:val="7"/>
    </w:pPr>
    <w:rPr>
      <w:b/>
      <w:caps/>
      <w:sz w:val="22"/>
    </w:rPr>
  </w:style>
  <w:style w:type="paragraph" w:styleId="Heading9">
    <w:name w:val="heading 9"/>
    <w:basedOn w:val="Normal"/>
    <w:next w:val="Normal"/>
    <w:qFormat/>
    <w:pPr>
      <w:keepNext/>
      <w:spacing w:after="120"/>
      <w:ind w:left="360"/>
      <w:outlineLvl w:val="8"/>
    </w:pPr>
    <w:rPr>
      <w:sz w:val="22"/>
      <w:u w:val="single"/>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EndnoteReference">
    <w:name w:val="endnote reference"/>
    <w:basedOn w:val="DefaultParagraphFont"/>
    <w:semiHidden/>
    <w:rPr>
      <w:vertAlign w:val="superscript"/>
    </w:rPr>
  </w:style>
  <w:style w:type="paragraph" w:styleId="Header">
    <w:name w:val="header"/>
    <w:basedOn w:val="Normal"/>
    <w:pPr>
      <w:tabs>
        <w:tab w:val="center" w:pos="4320"/>
        <w:tab w:val="right" w:pos="8640"/>
      </w:tabs>
    </w:pPr>
  </w:style>
  <w:style w:type="character" w:styleId="PageNumber">
    <w:name w:val="page number"/>
    <w:basedOn w:val="DefaultParagraphFont"/>
  </w:style>
  <w:style w:type="paragraph" w:styleId="Footer">
    <w:name w:val="footer"/>
    <w:basedOn w:val="Normal"/>
    <w:pPr>
      <w:tabs>
        <w:tab w:val="center" w:pos="4320"/>
        <w:tab w:val="right" w:pos="8640"/>
      </w:tabs>
    </w:pPr>
  </w:style>
  <w:style w:type="paragraph" w:styleId="BodyTextIndent">
    <w:name w:val="Body Text Indent"/>
    <w:basedOn w:val="Normal"/>
    <w:pPr>
      <w:spacing w:after="120"/>
      <w:ind w:left="634"/>
    </w:pPr>
    <w:rPr>
      <w:sz w:val="24"/>
    </w:rPr>
  </w:style>
  <w:style w:type="paragraph" w:styleId="BodyTextIndent2">
    <w:name w:val="Body Text Indent 2"/>
    <w:basedOn w:val="Normal"/>
    <w:pPr>
      <w:tabs>
        <w:tab w:val="left" w:pos="630"/>
      </w:tabs>
      <w:spacing w:after="120"/>
      <w:ind w:left="630"/>
    </w:pPr>
    <w:rPr>
      <w:sz w:val="24"/>
    </w:rPr>
  </w:style>
  <w:style w:type="paragraph" w:styleId="BodyTextIndent3">
    <w:name w:val="Body Text Indent 3"/>
    <w:basedOn w:val="Normal"/>
    <w:pPr>
      <w:spacing w:before="240" w:after="120"/>
      <w:ind w:left="634"/>
      <w:jc w:val="center"/>
    </w:pPr>
    <w:rPr>
      <w:caps/>
      <w:sz w:val="24"/>
    </w:rPr>
  </w:style>
  <w:style w:type="paragraph" w:styleId="BodyText2">
    <w:name w:val="Body Text 2"/>
    <w:basedOn w:val="Normal"/>
    <w:link w:val="BodyText2Char"/>
    <w:uiPriority w:val="99"/>
    <w:pPr>
      <w:numPr>
        <w:ilvl w:val="12"/>
      </w:numPr>
      <w:spacing w:after="120"/>
      <w:jc w:val="both"/>
    </w:pPr>
    <w:rPr>
      <w:sz w:val="22"/>
    </w:rPr>
  </w:style>
  <w:style w:type="paragraph" w:styleId="Title">
    <w:name w:val="Title"/>
    <w:basedOn w:val="Normal"/>
    <w:link w:val="TitleChar"/>
    <w:qFormat/>
    <w:pPr>
      <w:jc w:val="center"/>
    </w:pPr>
    <w:rPr>
      <w:b/>
      <w:sz w:val="24"/>
    </w:rPr>
  </w:style>
  <w:style w:type="paragraph" w:styleId="BodyText">
    <w:name w:val="Body Text"/>
    <w:aliases w:val="SCA Body Text,SCA Body Text1,SCA Body Text2,SCA Body Text11,BodyText-JEA,BT-JEA"/>
    <w:basedOn w:val="Normal"/>
    <w:pPr>
      <w:spacing w:after="120"/>
    </w:pPr>
    <w:rPr>
      <w:sz w:val="24"/>
    </w:rPr>
  </w:style>
  <w:style w:type="paragraph" w:styleId="BodyText3">
    <w:name w:val="Body Text 3"/>
    <w:basedOn w:val="Normal"/>
    <w:link w:val="BodyText3Char"/>
    <w:pPr>
      <w:spacing w:before="120" w:after="120"/>
    </w:pPr>
    <w:rPr>
      <w:sz w:val="22"/>
    </w:rPr>
  </w:style>
  <w:style w:type="paragraph" w:customStyle="1" w:styleId="Style4">
    <w:name w:val="Style4"/>
    <w:next w:val="Normal"/>
    <w:rPr>
      <w:noProof/>
      <w:sz w:val="24"/>
    </w:rPr>
  </w:style>
  <w:style w:type="paragraph" w:styleId="BlockText">
    <w:name w:val="Block Text"/>
    <w:basedOn w:val="Normal"/>
    <w:pPr>
      <w:spacing w:after="120"/>
      <w:ind w:left="720" w:right="43"/>
      <w:jc w:val="both"/>
    </w:pPr>
    <w:rPr>
      <w:sz w:val="22"/>
    </w:rPr>
  </w:style>
  <w:style w:type="character" w:styleId="Hyperlink">
    <w:name w:val="Hyperlink"/>
    <w:basedOn w:val="DefaultParagraphFont"/>
    <w:rPr>
      <w:color w:val="0000FF"/>
      <w:u w:val="single"/>
    </w:rPr>
  </w:style>
  <w:style w:type="paragraph" w:customStyle="1" w:styleId="SCATableHeading">
    <w:name w:val="SCA Table Heading"/>
    <w:basedOn w:val="Normal"/>
    <w:pPr>
      <w:jc w:val="center"/>
    </w:pPr>
    <w:rPr>
      <w:b/>
      <w:caps/>
    </w:rPr>
  </w:style>
  <w:style w:type="paragraph" w:customStyle="1" w:styleId="Default">
    <w:name w:val="Default"/>
    <w:rsid w:val="002A28C2"/>
    <w:pPr>
      <w:autoSpaceDE w:val="0"/>
      <w:autoSpaceDN w:val="0"/>
      <w:adjustRightInd w:val="0"/>
    </w:pPr>
    <w:rPr>
      <w:color w:val="000000"/>
      <w:sz w:val="24"/>
      <w:szCs w:val="24"/>
    </w:rPr>
  </w:style>
  <w:style w:type="table" w:styleId="TableGrid">
    <w:name w:val="Table Grid"/>
    <w:basedOn w:val="TableNormal"/>
    <w:rsid w:val="00F350ED"/>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Heading8Char">
    <w:name w:val="Heading 8 Char"/>
    <w:basedOn w:val="DefaultParagraphFont"/>
    <w:link w:val="Heading8"/>
    <w:uiPriority w:val="99"/>
    <w:locked/>
    <w:rsid w:val="00041EA0"/>
    <w:rPr>
      <w:b/>
      <w:caps/>
      <w:sz w:val="22"/>
    </w:rPr>
  </w:style>
  <w:style w:type="paragraph" w:styleId="ListParagraph">
    <w:name w:val="List Paragraph"/>
    <w:basedOn w:val="Normal"/>
    <w:uiPriority w:val="34"/>
    <w:qFormat/>
    <w:rsid w:val="00F94B3C"/>
    <w:pPr>
      <w:ind w:left="720"/>
      <w:contextualSpacing/>
    </w:pPr>
  </w:style>
  <w:style w:type="character" w:customStyle="1" w:styleId="BodyText3Char">
    <w:name w:val="Body Text 3 Char"/>
    <w:basedOn w:val="DefaultParagraphFont"/>
    <w:link w:val="BodyText3"/>
    <w:rsid w:val="00F94B3C"/>
    <w:rPr>
      <w:sz w:val="22"/>
    </w:rPr>
  </w:style>
  <w:style w:type="paragraph" w:styleId="Caption">
    <w:name w:val="caption"/>
    <w:basedOn w:val="Normal"/>
    <w:next w:val="Normal"/>
    <w:unhideWhenUsed/>
    <w:qFormat/>
    <w:rsid w:val="003F1121"/>
    <w:pPr>
      <w:spacing w:after="200"/>
    </w:pPr>
    <w:rPr>
      <w:i/>
      <w:iCs/>
      <w:color w:val="44546A" w:themeColor="text2"/>
      <w:sz w:val="18"/>
      <w:szCs w:val="18"/>
    </w:rPr>
  </w:style>
  <w:style w:type="character" w:customStyle="1" w:styleId="BodyText2Char">
    <w:name w:val="Body Text 2 Char"/>
    <w:basedOn w:val="DefaultParagraphFont"/>
    <w:link w:val="BodyText2"/>
    <w:uiPriority w:val="99"/>
    <w:rsid w:val="00BC6B5B"/>
    <w:rPr>
      <w:sz w:val="22"/>
    </w:rPr>
  </w:style>
  <w:style w:type="character" w:customStyle="1" w:styleId="TitleChar">
    <w:name w:val="Title Char"/>
    <w:basedOn w:val="DefaultParagraphFont"/>
    <w:link w:val="Title"/>
    <w:rsid w:val="00EA49ED"/>
    <w:rPr>
      <w:b/>
      <w:sz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99001475">
      <w:bodyDiv w:val="1"/>
      <w:marLeft w:val="0"/>
      <w:marRight w:val="0"/>
      <w:marTop w:val="30"/>
      <w:marBottom w:val="750"/>
      <w:divBdr>
        <w:top w:val="none" w:sz="0" w:space="0" w:color="auto"/>
        <w:left w:val="none" w:sz="0" w:space="0" w:color="auto"/>
        <w:bottom w:val="none" w:sz="0" w:space="0" w:color="auto"/>
        <w:right w:val="none" w:sz="0" w:space="0" w:color="auto"/>
      </w:divBdr>
      <w:divsChild>
        <w:div w:id="495266832">
          <w:marLeft w:val="0"/>
          <w:marRight w:val="0"/>
          <w:marTop w:val="0"/>
          <w:marBottom w:val="0"/>
          <w:divBdr>
            <w:top w:val="none" w:sz="0" w:space="0" w:color="auto"/>
            <w:left w:val="none" w:sz="0" w:space="0" w:color="auto"/>
            <w:bottom w:val="none" w:sz="0" w:space="0" w:color="auto"/>
            <w:right w:val="none" w:sz="0" w:space="0" w:color="auto"/>
          </w:divBdr>
        </w:div>
      </w:divsChild>
    </w:div>
    <w:div w:id="362480210">
      <w:bodyDiv w:val="1"/>
      <w:marLeft w:val="0"/>
      <w:marRight w:val="0"/>
      <w:marTop w:val="0"/>
      <w:marBottom w:val="0"/>
      <w:divBdr>
        <w:top w:val="none" w:sz="0" w:space="0" w:color="auto"/>
        <w:left w:val="none" w:sz="0" w:space="0" w:color="auto"/>
        <w:bottom w:val="none" w:sz="0" w:space="0" w:color="auto"/>
        <w:right w:val="none" w:sz="0" w:space="0" w:color="auto"/>
      </w:divBdr>
    </w:div>
    <w:div w:id="702946423">
      <w:bodyDiv w:val="1"/>
      <w:marLeft w:val="0"/>
      <w:marRight w:val="0"/>
      <w:marTop w:val="0"/>
      <w:marBottom w:val="0"/>
      <w:divBdr>
        <w:top w:val="none" w:sz="0" w:space="0" w:color="auto"/>
        <w:left w:val="none" w:sz="0" w:space="0" w:color="auto"/>
        <w:bottom w:val="none" w:sz="0" w:space="0" w:color="auto"/>
        <w:right w:val="none" w:sz="0" w:space="0" w:color="auto"/>
      </w:divBdr>
    </w:div>
    <w:div w:id="155346676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jpg"/><Relationship Id="rId18" Type="http://schemas.openxmlformats.org/officeDocument/2006/relationships/hyperlink" Target="http://www.dep.state.fl.us/air/rules/fac/62-213.pdf" TargetMode="External"/><Relationship Id="rId26" Type="http://schemas.openxmlformats.org/officeDocument/2006/relationships/footer" Target="footer2.xml"/><Relationship Id="rId3" Type="http://schemas.openxmlformats.org/officeDocument/2006/relationships/styles" Target="styles.xml"/><Relationship Id="rId21" Type="http://schemas.openxmlformats.org/officeDocument/2006/relationships/hyperlink" Target="http://www.ecfr.gov/cgi-bin/text-idx?c=ecfr;sid=a381de93eb62713048e9d283adc2a3f3;rgn=div6;view=text;node=40%3A13.0.1.1.1.19;idno=40;cc=ecfr" TargetMode="Externa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hyperlink" Target="http://www.dep.state.fl.us/air/rules/fac/62-212.pdf" TargetMode="External"/><Relationship Id="rId25" Type="http://schemas.openxmlformats.org/officeDocument/2006/relationships/header" Target="header2.xml"/><Relationship Id="rId2" Type="http://schemas.openxmlformats.org/officeDocument/2006/relationships/numbering" Target="numbering.xml"/><Relationship Id="rId16" Type="http://schemas.openxmlformats.org/officeDocument/2006/relationships/hyperlink" Target="http://www.dep.state.fl.us/air/rules/fac/62-210.pdf" TargetMode="External"/><Relationship Id="rId20" Type="http://schemas.openxmlformats.org/officeDocument/2006/relationships/hyperlink" Target="http://www.dep.state.fl.us/air/rules/fac/62-297.pdf"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hyperlink" Target="http://www.dep.state.fl.us/air/rules/fac/62-204.pdf" TargetMode="External"/><Relationship Id="rId23" Type="http://schemas.openxmlformats.org/officeDocument/2006/relationships/header" Target="header1.xml"/><Relationship Id="rId28" Type="http://schemas.openxmlformats.org/officeDocument/2006/relationships/theme" Target="theme/theme1.xml"/><Relationship Id="rId10" Type="http://schemas.openxmlformats.org/officeDocument/2006/relationships/image" Target="media/image3.png"/><Relationship Id="rId19" Type="http://schemas.openxmlformats.org/officeDocument/2006/relationships/hyperlink" Target="http://www.dep.state.fl.us/air/rules/fac/62-296.pdf" TargetMode="Externa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http://www.dep.state.fl.us/air/rules/fac/62-4.pdf" TargetMode="External"/><Relationship Id="rId22" Type="http://schemas.openxmlformats.org/officeDocument/2006/relationships/hyperlink" Target="mailto:david.read@dep.state.fl.us" TargetMode="External"/><Relationship Id="rId27"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5711364-AA24-4880-8EBD-1B38C7A2448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1098</TotalTime>
  <Pages>8</Pages>
  <Words>3139</Words>
  <Characters>18070</Characters>
  <Application>Microsoft Office Word</Application>
  <DocSecurity>0</DocSecurity>
  <Lines>150</Lines>
  <Paragraphs>42</Paragraphs>
  <ScaleCrop>false</ScaleCrop>
  <HeadingPairs>
    <vt:vector size="2" baseType="variant">
      <vt:variant>
        <vt:lpstr>Title</vt:lpstr>
      </vt:variant>
      <vt:variant>
        <vt:i4>1</vt:i4>
      </vt:variant>
    </vt:vector>
  </HeadingPairs>
  <TitlesOfParts>
    <vt:vector size="1" baseType="lpstr">
      <vt:lpstr>Technical Evaluation &amp; Preliminary Determination</vt:lpstr>
    </vt:vector>
  </TitlesOfParts>
  <Manager>Trina Vielhauer</Manager>
  <Company>FDEP/DARM/BAR</Company>
  <LinksUpToDate>false</LinksUpToDate>
  <CharactersWithSpaces>21167</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Technical Evaluation &amp; Preliminary Determination</dc:title>
  <dc:subject>Draft Permit</dc:subject>
  <dc:creator>Jeff Koerner</dc:creator>
  <cp:keywords/>
  <cp:lastModifiedBy>Read, David</cp:lastModifiedBy>
  <cp:revision>25</cp:revision>
  <cp:lastPrinted>2011-10-05T15:17:00Z</cp:lastPrinted>
  <dcterms:created xsi:type="dcterms:W3CDTF">2014-03-03T16:30:00Z</dcterms:created>
  <dcterms:modified xsi:type="dcterms:W3CDTF">2014-04-22T12:24:00Z</dcterms:modified>
</cp:coreProperties>
</file>